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4F298F" w:rsidRDefault="004F298F" w:rsidP="004F298F">
      <w:pPr>
        <w:ind w:left="567"/>
        <w:rPr>
          <w:b/>
          <w:sz w:val="28"/>
          <w:szCs w:val="28"/>
        </w:rPr>
      </w:pPr>
    </w:p>
    <w:p w:rsidR="004F298F" w:rsidRDefault="00526433" w:rsidP="004F298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18.08.2022</w:t>
      </w:r>
      <w:r w:rsidR="004F298F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</w:t>
      </w:r>
      <w:r w:rsidR="004F298F">
        <w:rPr>
          <w:b/>
          <w:sz w:val="28"/>
          <w:szCs w:val="28"/>
        </w:rPr>
        <w:t xml:space="preserve">                                                    №</w:t>
      </w:r>
      <w:r>
        <w:rPr>
          <w:b/>
          <w:sz w:val="28"/>
          <w:szCs w:val="28"/>
        </w:rPr>
        <w:t>23</w:t>
      </w:r>
    </w:p>
    <w:p w:rsidR="004A3C46" w:rsidRDefault="004A3C46" w:rsidP="004A3C46">
      <w:pPr>
        <w:rPr>
          <w:sz w:val="32"/>
          <w:szCs w:val="32"/>
        </w:rPr>
      </w:pPr>
    </w:p>
    <w:p w:rsidR="00801319" w:rsidRDefault="00801319">
      <w:pPr>
        <w:pStyle w:val="ConsPlusTitle"/>
        <w:widowControl/>
        <w:jc w:val="center"/>
      </w:pPr>
    </w:p>
    <w:p w:rsidR="00F870E1" w:rsidRPr="001D5BA8" w:rsidRDefault="00F870E1" w:rsidP="00F870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Артемьевского сельского поселения от 28.02.2012 №5 «Об утверждении Положения об  </w:t>
      </w:r>
      <w:r w:rsidR="002A5E72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r w:rsidRPr="001D5BA8">
        <w:rPr>
          <w:rFonts w:ascii="Times New Roman" w:hAnsi="Times New Roman" w:cs="Times New Roman"/>
          <w:b/>
          <w:sz w:val="28"/>
          <w:szCs w:val="28"/>
        </w:rPr>
        <w:t>оплат</w:t>
      </w:r>
      <w:r w:rsidR="002A5E72">
        <w:rPr>
          <w:rFonts w:ascii="Times New Roman" w:hAnsi="Times New Roman" w:cs="Times New Roman"/>
          <w:b/>
          <w:sz w:val="28"/>
          <w:szCs w:val="28"/>
        </w:rPr>
        <w:t>ы</w:t>
      </w:r>
      <w:r w:rsidRPr="001D5BA8">
        <w:rPr>
          <w:rFonts w:ascii="Times New Roman" w:hAnsi="Times New Roman" w:cs="Times New Roman"/>
          <w:b/>
          <w:sz w:val="28"/>
          <w:szCs w:val="28"/>
        </w:rPr>
        <w:t xml:space="preserve"> труда служащих Артемьевского  сельского поселения»</w:t>
      </w:r>
    </w:p>
    <w:p w:rsidR="00F870E1" w:rsidRPr="00515927" w:rsidRDefault="00F870E1" w:rsidP="00F870E1"/>
    <w:p w:rsidR="00A13C7D" w:rsidRPr="006627E7" w:rsidRDefault="006627E7" w:rsidP="006627E7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8588C" w:rsidRPr="006627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3C7D"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02.03.2007 № 25-ФЗ «О муниципальной с</w:t>
      </w:r>
      <w:r w:rsidR="00B47E3D"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>лужбе в Российской Федерации», з</w:t>
      </w:r>
      <w:r w:rsidR="00A13C7D"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>аконом Ярославской области от 27.06.2007 № 46-з «О муниципальной службе в Ярославской области»,</w:t>
      </w:r>
      <w:r w:rsidR="00B47E3D" w:rsidRPr="006627E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6627E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постановлением Правительства Ярославской области </w:t>
      </w:r>
      <w:r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>от 24 сентября 2008 года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13C7D"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Артемьевского</w:t>
      </w:r>
      <w:r w:rsidR="00B47E3D"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A13C7D"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70E1"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Тутаевского муниципального района Ярославской области </w:t>
      </w:r>
      <w:r w:rsidR="00A13C7D" w:rsidRPr="006627E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Совет Артемьевского сельского поселения</w:t>
      </w:r>
    </w:p>
    <w:p w:rsidR="0010220F" w:rsidRPr="006627E7" w:rsidRDefault="00A13C7D" w:rsidP="00B47E3D">
      <w:pPr>
        <w:autoSpaceDE w:val="0"/>
        <w:autoSpaceDN w:val="0"/>
        <w:adjustRightInd w:val="0"/>
        <w:rPr>
          <w:sz w:val="28"/>
          <w:szCs w:val="28"/>
        </w:rPr>
      </w:pPr>
      <w:r w:rsidRPr="006627E7">
        <w:rPr>
          <w:sz w:val="28"/>
          <w:szCs w:val="28"/>
        </w:rPr>
        <w:t xml:space="preserve"> </w:t>
      </w:r>
    </w:p>
    <w:p w:rsidR="00A13C7D" w:rsidRDefault="00A13C7D" w:rsidP="00A13C7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220F" w:rsidRDefault="0010220F" w:rsidP="00A13C7D">
      <w:pPr>
        <w:jc w:val="center"/>
        <w:rPr>
          <w:sz w:val="28"/>
          <w:szCs w:val="28"/>
        </w:rPr>
      </w:pPr>
    </w:p>
    <w:p w:rsidR="00B47E3D" w:rsidRPr="003B5CBF" w:rsidRDefault="00B47E3D" w:rsidP="002A5E72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1. </w:t>
      </w:r>
      <w:r w:rsidRPr="003B5CBF">
        <w:rPr>
          <w:sz w:val="28"/>
          <w:szCs w:val="28"/>
        </w:rPr>
        <w:t xml:space="preserve">Внести в </w:t>
      </w:r>
      <w:r w:rsidR="004D3B6E">
        <w:rPr>
          <w:color w:val="000000"/>
          <w:sz w:val="28"/>
          <w:szCs w:val="28"/>
          <w:shd w:val="clear" w:color="auto" w:fill="FFFFFF"/>
        </w:rPr>
        <w:t>Положение</w:t>
      </w:r>
      <w:r w:rsidR="004D3B6E" w:rsidRPr="003B5CBF">
        <w:rPr>
          <w:color w:val="000000"/>
          <w:sz w:val="28"/>
          <w:szCs w:val="28"/>
          <w:shd w:val="clear" w:color="auto" w:fill="FFFFFF"/>
        </w:rPr>
        <w:t xml:space="preserve"> об условиях оплаты труда служащих Артемьевского сельского поселения</w:t>
      </w:r>
      <w:r w:rsidR="004D3B6E">
        <w:rPr>
          <w:color w:val="000000"/>
          <w:sz w:val="28"/>
          <w:szCs w:val="28"/>
          <w:shd w:val="clear" w:color="auto" w:fill="FFFFFF"/>
        </w:rPr>
        <w:t>, утвержденное</w:t>
      </w:r>
      <w:r w:rsidR="004D3B6E" w:rsidRPr="003B5CBF">
        <w:rPr>
          <w:sz w:val="28"/>
          <w:szCs w:val="28"/>
        </w:rPr>
        <w:t xml:space="preserve"> </w:t>
      </w:r>
      <w:r w:rsidRPr="003B5CBF">
        <w:rPr>
          <w:sz w:val="28"/>
          <w:szCs w:val="28"/>
        </w:rPr>
        <w:t>решение</w:t>
      </w:r>
      <w:r w:rsidR="004D3B6E">
        <w:rPr>
          <w:sz w:val="28"/>
          <w:szCs w:val="28"/>
        </w:rPr>
        <w:t>м</w:t>
      </w:r>
      <w:r w:rsidRPr="003B5CBF">
        <w:rPr>
          <w:sz w:val="28"/>
          <w:szCs w:val="28"/>
        </w:rPr>
        <w:t xml:space="preserve"> Муниципального Совета Артемьевского сельского поселения</w:t>
      </w:r>
      <w:r w:rsidRPr="00494DE7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 Ярославской области</w:t>
      </w:r>
      <w:r w:rsidRPr="003B5CB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28.02.2012 </w:t>
      </w:r>
      <w:r w:rsidRPr="003B5CBF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4D3B6E">
        <w:rPr>
          <w:sz w:val="28"/>
          <w:szCs w:val="28"/>
        </w:rPr>
        <w:t>,</w:t>
      </w:r>
      <w:r w:rsidRPr="003B5CBF">
        <w:rPr>
          <w:sz w:val="28"/>
          <w:szCs w:val="28"/>
        </w:rPr>
        <w:t xml:space="preserve"> следующие изменения:</w:t>
      </w:r>
    </w:p>
    <w:p w:rsidR="00907CFE" w:rsidRDefault="00B47E3D" w:rsidP="002A5E7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77552">
        <w:rPr>
          <w:color w:val="000000"/>
          <w:sz w:val="28"/>
          <w:szCs w:val="28"/>
          <w:shd w:val="clear" w:color="auto" w:fill="FFFFFF"/>
        </w:rPr>
        <w:t xml:space="preserve"> </w:t>
      </w:r>
      <w:r w:rsidR="002A5E72">
        <w:rPr>
          <w:color w:val="000000"/>
          <w:sz w:val="28"/>
          <w:szCs w:val="28"/>
          <w:shd w:val="clear" w:color="auto" w:fill="FFFFFF"/>
        </w:rPr>
        <w:t>1</w:t>
      </w:r>
      <w:r w:rsidR="00B77552">
        <w:rPr>
          <w:color w:val="000000"/>
          <w:sz w:val="28"/>
          <w:szCs w:val="28"/>
          <w:shd w:val="clear" w:color="auto" w:fill="FFFFFF"/>
        </w:rPr>
        <w:t>.1.</w:t>
      </w:r>
      <w:r w:rsidR="004D3B6E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 xml:space="preserve">ункт </w:t>
      </w:r>
      <w:r w:rsidR="002A5E72">
        <w:rPr>
          <w:color w:val="000000"/>
          <w:sz w:val="28"/>
          <w:szCs w:val="28"/>
          <w:shd w:val="clear" w:color="auto" w:fill="FFFFFF"/>
        </w:rPr>
        <w:t>6 п</w:t>
      </w:r>
      <w:r w:rsidR="00907CFE">
        <w:rPr>
          <w:color w:val="000000"/>
          <w:sz w:val="28"/>
          <w:szCs w:val="28"/>
          <w:shd w:val="clear" w:color="auto" w:fill="FFFFFF"/>
        </w:rPr>
        <w:t>еред</w:t>
      </w:r>
      <w:r w:rsidR="002A5E72">
        <w:rPr>
          <w:color w:val="000000"/>
          <w:sz w:val="28"/>
          <w:szCs w:val="28"/>
          <w:shd w:val="clear" w:color="auto" w:fill="FFFFFF"/>
        </w:rPr>
        <w:t xml:space="preserve"> </w:t>
      </w:r>
      <w:r w:rsidR="00907CFE">
        <w:rPr>
          <w:color w:val="000000"/>
          <w:sz w:val="28"/>
          <w:szCs w:val="28"/>
          <w:shd w:val="clear" w:color="auto" w:fill="FFFFFF"/>
        </w:rPr>
        <w:t>знаком</w:t>
      </w:r>
      <w:r w:rsidR="002A5E72">
        <w:rPr>
          <w:color w:val="000000"/>
          <w:sz w:val="28"/>
          <w:szCs w:val="28"/>
          <w:shd w:val="clear" w:color="auto" w:fill="FFFFFF"/>
        </w:rPr>
        <w:t xml:space="preserve"> </w:t>
      </w:r>
      <w:r w:rsidRPr="0079022B">
        <w:rPr>
          <w:color w:val="000000"/>
          <w:sz w:val="28"/>
          <w:szCs w:val="28"/>
          <w:shd w:val="clear" w:color="auto" w:fill="FFFFFF"/>
        </w:rPr>
        <w:t>«</w:t>
      </w:r>
      <w:r w:rsidR="00907CFE">
        <w:rPr>
          <w:color w:val="000000"/>
          <w:sz w:val="28"/>
          <w:szCs w:val="28"/>
          <w:shd w:val="clear" w:color="auto" w:fill="FFFFFF"/>
        </w:rPr>
        <w:t>.</w:t>
      </w:r>
      <w:r w:rsidR="004D3B6E">
        <w:rPr>
          <w:sz w:val="28"/>
          <w:szCs w:val="28"/>
        </w:rPr>
        <w:t>»</w:t>
      </w:r>
      <w:r w:rsidR="002A5E72">
        <w:rPr>
          <w:sz w:val="28"/>
          <w:szCs w:val="28"/>
        </w:rPr>
        <w:t xml:space="preserve"> дополнить словами </w:t>
      </w:r>
      <w:r w:rsidRPr="0079022B">
        <w:rPr>
          <w:sz w:val="28"/>
          <w:szCs w:val="28"/>
        </w:rPr>
        <w:t>«</w:t>
      </w:r>
      <w:r w:rsidR="002A5E72">
        <w:rPr>
          <w:sz w:val="28"/>
          <w:szCs w:val="28"/>
        </w:rPr>
        <w:t xml:space="preserve">, в размере </w:t>
      </w:r>
      <w:r w:rsidR="001D6D29">
        <w:rPr>
          <w:sz w:val="28"/>
          <w:szCs w:val="28"/>
        </w:rPr>
        <w:t>двенадцати</w:t>
      </w:r>
      <w:r w:rsidR="002A5E72">
        <w:rPr>
          <w:sz w:val="28"/>
          <w:szCs w:val="28"/>
        </w:rPr>
        <w:t xml:space="preserve"> должностн</w:t>
      </w:r>
      <w:r w:rsidR="001D6D29">
        <w:rPr>
          <w:sz w:val="28"/>
          <w:szCs w:val="28"/>
        </w:rPr>
        <w:t>ых</w:t>
      </w:r>
      <w:r w:rsidR="002A5E72">
        <w:rPr>
          <w:sz w:val="28"/>
          <w:szCs w:val="28"/>
        </w:rPr>
        <w:t xml:space="preserve"> оклад</w:t>
      </w:r>
      <w:r w:rsidR="001D6D29">
        <w:rPr>
          <w:sz w:val="28"/>
          <w:szCs w:val="28"/>
        </w:rPr>
        <w:t>ов</w:t>
      </w:r>
      <w:r w:rsidR="002A5E72">
        <w:rPr>
          <w:sz w:val="28"/>
          <w:szCs w:val="28"/>
        </w:rPr>
        <w:t xml:space="preserve"> в </w:t>
      </w:r>
      <w:r w:rsidR="001D6D29">
        <w:rPr>
          <w:sz w:val="28"/>
          <w:szCs w:val="28"/>
        </w:rPr>
        <w:t>год</w:t>
      </w:r>
      <w:r w:rsidR="00626160">
        <w:rPr>
          <w:sz w:val="28"/>
          <w:szCs w:val="28"/>
        </w:rPr>
        <w:t xml:space="preserve">».  </w:t>
      </w:r>
    </w:p>
    <w:p w:rsidR="00907CFE" w:rsidRDefault="00907CFE" w:rsidP="002A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пункте 8 первое предложение подпункта 8.1. изложить в следующей редакции:</w:t>
      </w:r>
    </w:p>
    <w:p w:rsidR="00B47E3D" w:rsidRDefault="00907CFE" w:rsidP="002A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7E3D">
        <w:rPr>
          <w:sz w:val="28"/>
          <w:szCs w:val="28"/>
        </w:rPr>
        <w:t xml:space="preserve"> </w:t>
      </w:r>
      <w:r w:rsidRPr="0079022B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В течение календарного года муниципальному служащему выплачивается 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окладов.</w:t>
      </w:r>
      <w:r>
        <w:rPr>
          <w:sz w:val="28"/>
          <w:szCs w:val="28"/>
        </w:rPr>
        <w:t>».</w:t>
      </w:r>
      <w:r w:rsidR="00B47E3D">
        <w:rPr>
          <w:sz w:val="28"/>
          <w:szCs w:val="28"/>
        </w:rPr>
        <w:t xml:space="preserve">  </w:t>
      </w:r>
      <w:r w:rsidR="002A1EA4">
        <w:rPr>
          <w:sz w:val="28"/>
          <w:szCs w:val="28"/>
        </w:rPr>
        <w:t xml:space="preserve">   </w:t>
      </w:r>
    </w:p>
    <w:p w:rsidR="00A13C7D" w:rsidRDefault="00B77552" w:rsidP="002A5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5E72">
        <w:rPr>
          <w:sz w:val="28"/>
          <w:szCs w:val="28"/>
        </w:rPr>
        <w:t>1</w:t>
      </w:r>
      <w:r w:rsidR="00C24B43">
        <w:rPr>
          <w:sz w:val="28"/>
          <w:szCs w:val="28"/>
        </w:rPr>
        <w:t>.</w:t>
      </w:r>
      <w:r w:rsidR="00907CFE">
        <w:rPr>
          <w:sz w:val="28"/>
          <w:szCs w:val="28"/>
        </w:rPr>
        <w:t>3</w:t>
      </w:r>
      <w:r w:rsidR="00C24B43">
        <w:rPr>
          <w:sz w:val="28"/>
          <w:szCs w:val="28"/>
        </w:rPr>
        <w:t>.</w:t>
      </w:r>
      <w:r w:rsidR="0081448C">
        <w:rPr>
          <w:sz w:val="28"/>
          <w:szCs w:val="28"/>
        </w:rPr>
        <w:t xml:space="preserve"> </w:t>
      </w:r>
      <w:r w:rsidR="002234C5">
        <w:rPr>
          <w:sz w:val="28"/>
          <w:szCs w:val="28"/>
        </w:rPr>
        <w:t xml:space="preserve">В </w:t>
      </w:r>
      <w:r w:rsidR="002A5E72">
        <w:rPr>
          <w:sz w:val="28"/>
          <w:szCs w:val="28"/>
        </w:rPr>
        <w:t>абзаце 5</w:t>
      </w:r>
      <w:r>
        <w:rPr>
          <w:sz w:val="28"/>
          <w:szCs w:val="28"/>
        </w:rPr>
        <w:t xml:space="preserve"> </w:t>
      </w:r>
      <w:r w:rsidR="002234C5">
        <w:rPr>
          <w:sz w:val="28"/>
          <w:szCs w:val="28"/>
        </w:rPr>
        <w:t>пункт</w:t>
      </w:r>
      <w:r w:rsidR="002A5E72">
        <w:rPr>
          <w:sz w:val="28"/>
          <w:szCs w:val="28"/>
        </w:rPr>
        <w:t xml:space="preserve">а 9 слово </w:t>
      </w:r>
      <w:r w:rsidR="005C212F">
        <w:rPr>
          <w:sz w:val="28"/>
          <w:szCs w:val="28"/>
        </w:rPr>
        <w:t>«</w:t>
      </w:r>
      <w:r w:rsidR="002A5E72">
        <w:rPr>
          <w:sz w:val="28"/>
          <w:szCs w:val="28"/>
        </w:rPr>
        <w:t>двух</w:t>
      </w:r>
      <w:r w:rsidR="005C212F">
        <w:rPr>
          <w:sz w:val="28"/>
          <w:szCs w:val="28"/>
        </w:rPr>
        <w:t>»</w:t>
      </w:r>
      <w:r w:rsidR="002A5E72">
        <w:rPr>
          <w:sz w:val="28"/>
          <w:szCs w:val="28"/>
        </w:rPr>
        <w:t xml:space="preserve"> заменить словом </w:t>
      </w:r>
      <w:r w:rsidR="002234C5">
        <w:rPr>
          <w:sz w:val="28"/>
          <w:szCs w:val="28"/>
        </w:rPr>
        <w:t>«</w:t>
      </w:r>
      <w:r w:rsidR="002A5E72">
        <w:rPr>
          <w:sz w:val="28"/>
          <w:szCs w:val="28"/>
        </w:rPr>
        <w:t>двенадцати</w:t>
      </w:r>
      <w:r w:rsidR="002234C5">
        <w:rPr>
          <w:sz w:val="28"/>
          <w:szCs w:val="28"/>
        </w:rPr>
        <w:t>»</w:t>
      </w:r>
      <w:r w:rsidR="002A5E72">
        <w:rPr>
          <w:sz w:val="28"/>
          <w:szCs w:val="28"/>
        </w:rPr>
        <w:t>.</w:t>
      </w:r>
      <w:bookmarkStart w:id="0" w:name="P17"/>
      <w:bookmarkEnd w:id="0"/>
    </w:p>
    <w:p w:rsidR="00907CFE" w:rsidRDefault="00907CFE" w:rsidP="002A5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C7D" w:rsidRDefault="008E7839" w:rsidP="008E783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234C5">
        <w:rPr>
          <w:sz w:val="28"/>
          <w:szCs w:val="28"/>
        </w:rPr>
        <w:t xml:space="preserve">2. </w:t>
      </w:r>
      <w:r w:rsidR="00A13C7D">
        <w:rPr>
          <w:sz w:val="28"/>
          <w:szCs w:val="28"/>
        </w:rPr>
        <w:t xml:space="preserve">Обнародовать настоящее решение согласно </w:t>
      </w:r>
      <w:r>
        <w:rPr>
          <w:sz w:val="28"/>
          <w:szCs w:val="28"/>
        </w:rPr>
        <w:t>Положения</w:t>
      </w:r>
      <w:r w:rsidRPr="008E7839">
        <w:rPr>
          <w:sz w:val="28"/>
          <w:szCs w:val="28"/>
        </w:rPr>
        <w:t xml:space="preserve"> о порядке обнародования муниципальных правовых актов Артемьевского сельского поселения.</w:t>
      </w:r>
    </w:p>
    <w:p w:rsidR="00907CFE" w:rsidRPr="008E7839" w:rsidRDefault="00907CFE" w:rsidP="008E783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 настоящего решения возложить на</w:t>
      </w:r>
      <w:r w:rsidRPr="006627E7">
        <w:rPr>
          <w:sz w:val="28"/>
          <w:szCs w:val="28"/>
        </w:rPr>
        <w:t xml:space="preserve"> </w:t>
      </w:r>
      <w:r w:rsidR="006627E7">
        <w:rPr>
          <w:color w:val="000000"/>
          <w:sz w:val="28"/>
          <w:szCs w:val="28"/>
        </w:rPr>
        <w:t>п</w:t>
      </w:r>
      <w:r w:rsidRPr="006627E7">
        <w:rPr>
          <w:color w:val="000000"/>
          <w:sz w:val="28"/>
          <w:szCs w:val="28"/>
        </w:rPr>
        <w:t>остоянную комиссию Муниципального Совета Артемьевского сельского поселения по бюджету, финансам, налоговой политике и вопросам местного самоуправления</w:t>
      </w:r>
      <w:r w:rsidR="006627E7">
        <w:rPr>
          <w:color w:val="000000"/>
          <w:sz w:val="28"/>
          <w:szCs w:val="28"/>
        </w:rPr>
        <w:t>.</w:t>
      </w:r>
    </w:p>
    <w:p w:rsidR="00A13C7D" w:rsidRDefault="006627E7" w:rsidP="002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4C5">
        <w:rPr>
          <w:sz w:val="28"/>
          <w:szCs w:val="28"/>
        </w:rPr>
        <w:t xml:space="preserve">. </w:t>
      </w:r>
      <w:r w:rsidR="00A13C7D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обнародован</w:t>
      </w:r>
      <w:r w:rsidR="00A13C7D">
        <w:rPr>
          <w:sz w:val="28"/>
          <w:szCs w:val="28"/>
        </w:rPr>
        <w:t>ия.</w:t>
      </w:r>
    </w:p>
    <w:p w:rsidR="00D6715F" w:rsidRDefault="00D6715F" w:rsidP="00A13C7D">
      <w:pPr>
        <w:jc w:val="center"/>
        <w:rPr>
          <w:sz w:val="28"/>
          <w:szCs w:val="28"/>
        </w:rPr>
      </w:pPr>
    </w:p>
    <w:p w:rsidR="00A13C7D" w:rsidRDefault="002234C5" w:rsidP="00A13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7E7" w:rsidRDefault="006627E7" w:rsidP="00A13C7D">
      <w:pPr>
        <w:jc w:val="center"/>
        <w:rPr>
          <w:sz w:val="28"/>
          <w:szCs w:val="28"/>
        </w:rPr>
      </w:pPr>
    </w:p>
    <w:p w:rsidR="00C81A72" w:rsidRPr="002234C5" w:rsidRDefault="004A3C46" w:rsidP="002234C5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Pr="00801319">
        <w:rPr>
          <w:sz w:val="28"/>
          <w:szCs w:val="28"/>
        </w:rPr>
        <w:t xml:space="preserve">      </w:t>
      </w:r>
      <w:r w:rsidR="00FA76BF">
        <w:rPr>
          <w:sz w:val="28"/>
          <w:szCs w:val="28"/>
        </w:rPr>
        <w:t xml:space="preserve">          </w:t>
      </w:r>
      <w:r w:rsidRPr="00801319">
        <w:rPr>
          <w:sz w:val="28"/>
          <w:szCs w:val="28"/>
        </w:rPr>
        <w:t xml:space="preserve">                   Т.В.</w:t>
      </w:r>
      <w:r w:rsidR="00147760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sectPr w:rsidR="00C81A72" w:rsidRPr="002234C5" w:rsidSect="00626160"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80" w:rsidRDefault="00065C80" w:rsidP="003B5CBF">
      <w:r>
        <w:separator/>
      </w:r>
    </w:p>
  </w:endnote>
  <w:endnote w:type="continuationSeparator" w:id="1">
    <w:p w:rsidR="00065C80" w:rsidRDefault="00065C80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80" w:rsidRDefault="00065C80" w:rsidP="003B5CBF">
      <w:r>
        <w:separator/>
      </w:r>
    </w:p>
  </w:footnote>
  <w:footnote w:type="continuationSeparator" w:id="1">
    <w:p w:rsidR="00065C80" w:rsidRDefault="00065C80" w:rsidP="003B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F" w:rsidRDefault="00C252CF">
    <w:pPr>
      <w:pStyle w:val="a7"/>
      <w:jc w:val="center"/>
    </w:pPr>
    <w:fldSimple w:instr="PAGE   \* MERGEFORMAT">
      <w:r w:rsidR="00FA76BF">
        <w:rPr>
          <w:noProof/>
        </w:rPr>
        <w:t>2</w:t>
      </w:r>
    </w:fldSimple>
  </w:p>
  <w:p w:rsidR="003B5CBF" w:rsidRDefault="003B5C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0F5B"/>
    <w:rsid w:val="00065B08"/>
    <w:rsid w:val="00065C80"/>
    <w:rsid w:val="000916A0"/>
    <w:rsid w:val="0010220F"/>
    <w:rsid w:val="00142376"/>
    <w:rsid w:val="00147760"/>
    <w:rsid w:val="001555E8"/>
    <w:rsid w:val="001C12B5"/>
    <w:rsid w:val="001D6D29"/>
    <w:rsid w:val="001E4A8D"/>
    <w:rsid w:val="001F1820"/>
    <w:rsid w:val="00222A49"/>
    <w:rsid w:val="002234C5"/>
    <w:rsid w:val="00253E9D"/>
    <w:rsid w:val="00266132"/>
    <w:rsid w:val="002A1EA4"/>
    <w:rsid w:val="002A5E72"/>
    <w:rsid w:val="002D755F"/>
    <w:rsid w:val="002E4C12"/>
    <w:rsid w:val="0037055A"/>
    <w:rsid w:val="003A1FA3"/>
    <w:rsid w:val="003B5A6C"/>
    <w:rsid w:val="003B5CBF"/>
    <w:rsid w:val="003B5EA2"/>
    <w:rsid w:val="00406A9D"/>
    <w:rsid w:val="00494DE7"/>
    <w:rsid w:val="004A3C46"/>
    <w:rsid w:val="004D1BE2"/>
    <w:rsid w:val="004D3B6E"/>
    <w:rsid w:val="004F05D8"/>
    <w:rsid w:val="004F298F"/>
    <w:rsid w:val="00523640"/>
    <w:rsid w:val="00526433"/>
    <w:rsid w:val="005A081D"/>
    <w:rsid w:val="005C212F"/>
    <w:rsid w:val="00626160"/>
    <w:rsid w:val="00641309"/>
    <w:rsid w:val="00645E2F"/>
    <w:rsid w:val="006627E7"/>
    <w:rsid w:val="006A25FA"/>
    <w:rsid w:val="007008D0"/>
    <w:rsid w:val="00707343"/>
    <w:rsid w:val="00724E5F"/>
    <w:rsid w:val="00733F3A"/>
    <w:rsid w:val="00766FE3"/>
    <w:rsid w:val="0079022B"/>
    <w:rsid w:val="007A2601"/>
    <w:rsid w:val="007C00B0"/>
    <w:rsid w:val="007E2404"/>
    <w:rsid w:val="00801319"/>
    <w:rsid w:val="0081448C"/>
    <w:rsid w:val="00862504"/>
    <w:rsid w:val="00896007"/>
    <w:rsid w:val="008C0C2B"/>
    <w:rsid w:val="008C5200"/>
    <w:rsid w:val="008E4E59"/>
    <w:rsid w:val="008E7839"/>
    <w:rsid w:val="00907CFE"/>
    <w:rsid w:val="009959F2"/>
    <w:rsid w:val="00996878"/>
    <w:rsid w:val="00A056D3"/>
    <w:rsid w:val="00A13C7D"/>
    <w:rsid w:val="00A46A38"/>
    <w:rsid w:val="00AB048A"/>
    <w:rsid w:val="00B13477"/>
    <w:rsid w:val="00B47E3D"/>
    <w:rsid w:val="00B77552"/>
    <w:rsid w:val="00B93722"/>
    <w:rsid w:val="00BA5133"/>
    <w:rsid w:val="00BC5569"/>
    <w:rsid w:val="00BD0A56"/>
    <w:rsid w:val="00C24398"/>
    <w:rsid w:val="00C24B43"/>
    <w:rsid w:val="00C252CF"/>
    <w:rsid w:val="00C81A72"/>
    <w:rsid w:val="00C8588C"/>
    <w:rsid w:val="00CF58AF"/>
    <w:rsid w:val="00D24F09"/>
    <w:rsid w:val="00D2717E"/>
    <w:rsid w:val="00D336BE"/>
    <w:rsid w:val="00D44C2C"/>
    <w:rsid w:val="00D55053"/>
    <w:rsid w:val="00D6715F"/>
    <w:rsid w:val="00D90621"/>
    <w:rsid w:val="00E2450C"/>
    <w:rsid w:val="00E66152"/>
    <w:rsid w:val="00E67E48"/>
    <w:rsid w:val="00EB4AB9"/>
    <w:rsid w:val="00ED4935"/>
    <w:rsid w:val="00EE6E17"/>
    <w:rsid w:val="00F3474C"/>
    <w:rsid w:val="00F870E1"/>
    <w:rsid w:val="00FA76BF"/>
    <w:rsid w:val="00FB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3C7D"/>
    <w:pPr>
      <w:keepNext/>
      <w:jc w:val="both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nhideWhenUsed/>
    <w:qFormat/>
    <w:rsid w:val="00662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uiPriority w:val="99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C7D"/>
    <w:rPr>
      <w:b/>
      <w:bCs/>
      <w:i/>
      <w:iCs/>
      <w:sz w:val="24"/>
      <w:szCs w:val="24"/>
    </w:rPr>
  </w:style>
  <w:style w:type="paragraph" w:styleId="ab">
    <w:name w:val="Body Text Indent"/>
    <w:basedOn w:val="a"/>
    <w:link w:val="ac"/>
    <w:unhideWhenUsed/>
    <w:rsid w:val="00A13C7D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13C7D"/>
    <w:rPr>
      <w:sz w:val="28"/>
    </w:rPr>
  </w:style>
  <w:style w:type="paragraph" w:customStyle="1" w:styleId="ad">
    <w:name w:val="Знак"/>
    <w:basedOn w:val="a"/>
    <w:rsid w:val="00F870E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62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23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513F-81E5-4AEA-8078-0440CF52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2539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11</cp:revision>
  <cp:lastPrinted>2022-04-01T06:04:00Z</cp:lastPrinted>
  <dcterms:created xsi:type="dcterms:W3CDTF">2022-03-31T07:19:00Z</dcterms:created>
  <dcterms:modified xsi:type="dcterms:W3CDTF">2022-08-19T06:15:00Z</dcterms:modified>
</cp:coreProperties>
</file>