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</w:t>
      </w:r>
      <w:r w:rsidR="004F52C4">
        <w:rPr>
          <w:sz w:val="28"/>
          <w:szCs w:val="28"/>
        </w:rPr>
        <w:t>22</w:t>
      </w:r>
      <w:r w:rsidRPr="00356044">
        <w:rPr>
          <w:sz w:val="28"/>
          <w:szCs w:val="28"/>
        </w:rPr>
        <w:t xml:space="preserve"> 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имущества, </w:t>
      </w:r>
      <w:r w:rsidR="004F52C4" w:rsidRPr="004F52C4">
        <w:rPr>
          <w:sz w:val="28"/>
          <w:szCs w:val="28"/>
        </w:rPr>
        <w:t>в лице исполняющего обязанности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Петровой Анны Евгеньевны,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Муниципального Совета Тутаевского муниципального района № 46-г от 28.03.2019, Распоряжения Администрации Тутаевского муниципального района № 337-кл от 25.11.2021года</w:t>
      </w:r>
      <w:r w:rsidRPr="00320459">
        <w:rPr>
          <w:sz w:val="28"/>
          <w:szCs w:val="28"/>
        </w:rPr>
        <w:t xml:space="preserve">, и Распоряжения Администрации ТМР № 208-кл   от 12.09.2017 года, юридический адрес: Ярославская область, г. Тутаев, </w:t>
      </w:r>
      <w:r>
        <w:rPr>
          <w:sz w:val="28"/>
          <w:szCs w:val="28"/>
        </w:rPr>
        <w:t xml:space="preserve"> </w:t>
      </w:r>
      <w:r w:rsidRPr="00320459">
        <w:rPr>
          <w:sz w:val="28"/>
          <w:szCs w:val="28"/>
        </w:rPr>
        <w:t>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>
        <w:rPr>
          <w:sz w:val="28"/>
          <w:szCs w:val="28"/>
        </w:rPr>
        <w:t xml:space="preserve"> _______________________ </w:t>
      </w:r>
      <w:r w:rsidRPr="00356044">
        <w:rPr>
          <w:sz w:val="28"/>
          <w:szCs w:val="28"/>
        </w:rPr>
        <w:t>настоящий договор (далее - Договор), о нижеследующем: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>, Правилам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r w:rsidRPr="004F3316">
        <w:rPr>
          <w:sz w:val="28"/>
          <w:szCs w:val="28"/>
        </w:rPr>
        <w:t>р/с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6.1.1. Неоднократного (3 и более раз) нарушения «Владельцем нестационарного торгового объекта» обязательств, предусмотренных </w:t>
      </w:r>
      <w:r w:rsidRPr="00356044">
        <w:rPr>
          <w:sz w:val="28"/>
          <w:szCs w:val="28"/>
        </w:rPr>
        <w:lastRenderedPageBreak/>
        <w:t>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lastRenderedPageBreak/>
        <w:t>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435CA0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435CA0" w:rsidRPr="00FA60A9" w:rsidRDefault="00283CEB" w:rsidP="00DD0467">
            <w:r>
              <w:t>И.о.</w:t>
            </w:r>
            <w:r w:rsidR="00435CA0" w:rsidRPr="00FA60A9">
              <w:t>Заместител</w:t>
            </w:r>
            <w:r>
              <w:t>я</w:t>
            </w:r>
            <w:r w:rsidR="00435CA0" w:rsidRPr="00FA60A9">
              <w:t xml:space="preserve"> Главы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435CA0" w:rsidP="00DD0467">
            <w:r w:rsidRPr="00FA60A9">
              <w:t>директор</w:t>
            </w:r>
            <w:r w:rsidR="00283CEB">
              <w:t>а</w:t>
            </w:r>
            <w:r w:rsidRPr="00FA60A9">
              <w:t xml:space="preserve"> Департамента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283CEB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t>А.</w:t>
            </w:r>
            <w:r w:rsidR="00462608">
              <w:rPr>
                <w:b/>
              </w:rPr>
              <w:t>Е. Петрова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283CEB" w:rsidRPr="00F41AD4" w:rsidRDefault="00435CA0" w:rsidP="00283CEB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lastRenderedPageBreak/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lastRenderedPageBreak/>
              <w:t>________________________________</w:t>
            </w:r>
          </w:p>
        </w:tc>
      </w:tr>
    </w:tbl>
    <w:p w:rsidR="00435CA0" w:rsidRPr="00356044" w:rsidRDefault="00435CA0" w:rsidP="00283CEB">
      <w:pPr>
        <w:autoSpaceDE w:val="0"/>
        <w:autoSpaceDN w:val="0"/>
        <w:jc w:val="right"/>
      </w:pPr>
    </w:p>
    <w:sectPr w:rsidR="00435CA0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B5" w:rsidRDefault="000B53B5">
      <w:r>
        <w:separator/>
      </w:r>
    </w:p>
  </w:endnote>
  <w:endnote w:type="continuationSeparator" w:id="1">
    <w:p w:rsidR="000B53B5" w:rsidRDefault="000B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B5" w:rsidRDefault="000B53B5">
      <w:r>
        <w:separator/>
      </w:r>
    </w:p>
  </w:footnote>
  <w:footnote w:type="continuationSeparator" w:id="1">
    <w:p w:rsidR="000B53B5" w:rsidRDefault="000B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DB3FDB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DB3FDB">
    <w:pPr>
      <w:pStyle w:val="a9"/>
      <w:jc w:val="center"/>
    </w:pPr>
    <w:fldSimple w:instr=" PAGE   \* MERGEFORMAT ">
      <w:r w:rsidR="00462608">
        <w:rPr>
          <w:noProof/>
        </w:rPr>
        <w:t>7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B53B5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CEB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2608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52C4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63C42"/>
    <w:rsid w:val="00566735"/>
    <w:rsid w:val="0058129C"/>
    <w:rsid w:val="005A485F"/>
    <w:rsid w:val="005B003A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C40EC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25536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3FDB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2798</Words>
  <Characters>15955</Characters>
  <Application>Microsoft Office Word</Application>
  <DocSecurity>0</DocSecurity>
  <Lines>132</Lines>
  <Paragraphs>37</Paragraphs>
  <ScaleCrop>false</ScaleCrop>
  <Company>Организация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user</cp:lastModifiedBy>
  <cp:revision>29</cp:revision>
  <cp:lastPrinted>2018-01-22T07:18:00Z</cp:lastPrinted>
  <dcterms:created xsi:type="dcterms:W3CDTF">2015-02-09T11:44:00Z</dcterms:created>
  <dcterms:modified xsi:type="dcterms:W3CDTF">2022-04-14T06:14:00Z</dcterms:modified>
</cp:coreProperties>
</file>