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048" w:rsidRPr="003E658B" w:rsidRDefault="00A973AF" w:rsidP="00F3480B">
      <w:pPr>
        <w:jc w:val="center"/>
        <w:rPr>
          <w:b/>
        </w:rPr>
      </w:pPr>
      <w:r>
        <w:rPr>
          <w:b/>
        </w:rPr>
        <w:t>___________________________________________________________________</w:t>
      </w:r>
    </w:p>
    <w:p w:rsidR="003B068B" w:rsidRPr="00A973AF" w:rsidRDefault="003B068B" w:rsidP="00527048"/>
    <w:p w:rsidR="003E658B" w:rsidRPr="001D0809" w:rsidRDefault="003E658B" w:rsidP="003E658B">
      <w:pPr>
        <w:jc w:val="center"/>
        <w:rPr>
          <w:b/>
        </w:rPr>
      </w:pPr>
      <w:r w:rsidRPr="001D0809">
        <w:rPr>
          <w:b/>
        </w:rPr>
        <w:t>Краткое описание намечаемой хозяйственной деятельности по проекту «Корректировка проектно-сметной документации на ликвидацию кисло-гудронного пруда № 1, 2 со склонами и рекуль</w:t>
      </w:r>
      <w:bookmarkStart w:id="0" w:name="_GoBack"/>
      <w:bookmarkEnd w:id="0"/>
      <w:r w:rsidRPr="001D0809">
        <w:rPr>
          <w:b/>
        </w:rPr>
        <w:t xml:space="preserve">тивацию земель, нарушенных сооружением и эксплуатацией пруда» </w:t>
      </w:r>
    </w:p>
    <w:p w:rsidR="003E658B" w:rsidRDefault="003E658B" w:rsidP="003E658B">
      <w:pPr>
        <w:jc w:val="center"/>
      </w:pPr>
      <w:r w:rsidRPr="001D0809">
        <w:rPr>
          <w:b/>
        </w:rPr>
        <w:t>на ОАО «ЯНПЗ им. Д.И. Менделеева»</w:t>
      </w:r>
    </w:p>
    <w:p w:rsidR="003E658B" w:rsidRDefault="003E658B" w:rsidP="003E658B">
      <w:pPr>
        <w:jc w:val="center"/>
      </w:pPr>
    </w:p>
    <w:p w:rsidR="003E658B" w:rsidRDefault="003E658B" w:rsidP="003E658B">
      <w:pPr>
        <w:spacing w:line="276" w:lineRule="auto"/>
        <w:ind w:firstLine="708"/>
        <w:jc w:val="both"/>
      </w:pPr>
      <w:r>
        <w:t xml:space="preserve">Описание </w:t>
      </w:r>
      <w:r w:rsidRPr="001D0809">
        <w:t xml:space="preserve">подготовлено с целью предоставления широкой </w:t>
      </w:r>
      <w:r>
        <w:t xml:space="preserve">аудитории общественности и экспертов краткой информации о </w:t>
      </w:r>
      <w:r w:rsidRPr="001D0809">
        <w:t xml:space="preserve">намечаемой хозяйственной деятельности </w:t>
      </w:r>
      <w:r>
        <w:t>по</w:t>
      </w:r>
      <w:r w:rsidRPr="001D0809">
        <w:t xml:space="preserve"> проект</w:t>
      </w:r>
      <w:r>
        <w:t>у</w:t>
      </w:r>
      <w:r w:rsidRPr="001D0809">
        <w:t xml:space="preserve"> «Корректировка проектно-сметной документации на ликвидацию кисло-гудронного пруда № 1,2 со склонами и рекультивация земель, нарушенных сооружением и эксплуатацией пруда».</w:t>
      </w:r>
    </w:p>
    <w:p w:rsidR="003E658B" w:rsidRDefault="003E658B" w:rsidP="003E658B">
      <w:pPr>
        <w:spacing w:line="276" w:lineRule="auto"/>
        <w:ind w:firstLine="708"/>
        <w:jc w:val="both"/>
      </w:pPr>
    </w:p>
    <w:p w:rsidR="003E658B" w:rsidRPr="001D0809" w:rsidRDefault="003E658B" w:rsidP="003E658B">
      <w:pPr>
        <w:spacing w:line="276" w:lineRule="auto"/>
        <w:ind w:firstLine="708"/>
        <w:jc w:val="both"/>
        <w:rPr>
          <w:b/>
        </w:rPr>
      </w:pPr>
      <w:r w:rsidRPr="001D0809">
        <w:rPr>
          <w:b/>
        </w:rPr>
        <w:t>Введение</w:t>
      </w:r>
    </w:p>
    <w:p w:rsidR="003E658B" w:rsidRDefault="003E658B" w:rsidP="003E658B">
      <w:pPr>
        <w:spacing w:line="276" w:lineRule="auto"/>
        <w:ind w:firstLine="708"/>
        <w:jc w:val="both"/>
      </w:pPr>
      <w:r w:rsidRPr="009D4655">
        <w:rPr>
          <w:szCs w:val="20"/>
        </w:rPr>
        <w:t xml:space="preserve">В 2014 году разработан проект «Ликвидация </w:t>
      </w:r>
      <w:proofErr w:type="spellStart"/>
      <w:r w:rsidRPr="009D4655">
        <w:rPr>
          <w:szCs w:val="20"/>
        </w:rPr>
        <w:t>кислогудронного</w:t>
      </w:r>
      <w:proofErr w:type="spellEnd"/>
      <w:r w:rsidRPr="009D4655">
        <w:rPr>
          <w:szCs w:val="20"/>
        </w:rPr>
        <w:t xml:space="preserve"> пруда № 1, 2 со склонами и рекультивация земель, нарушенных сооружением и эксплуатацией пруда ОАО «Ярославский нефтеперерабатывающий завод им. Д.И. Менделеева</w:t>
      </w:r>
      <w:r w:rsidRPr="00FD3545">
        <w:rPr>
          <w:szCs w:val="20"/>
        </w:rPr>
        <w:t xml:space="preserve">». </w:t>
      </w:r>
      <w:r w:rsidRPr="00FD3545">
        <w:t>Приказом Федеральной службы по надзору в сфере природопользования (</w:t>
      </w:r>
      <w:proofErr w:type="spellStart"/>
      <w:r w:rsidRPr="00FD3545">
        <w:t>Роспотребнадзор</w:t>
      </w:r>
      <w:proofErr w:type="spellEnd"/>
      <w:r w:rsidRPr="00FD3545">
        <w:t>) по Ярославской области № 19 от 24 февраля 2015 г. установлен период положительного государственной экологической экспертизы (ГЭЭ) на срок 12 лет до 2027 г.</w:t>
      </w:r>
    </w:p>
    <w:p w:rsidR="003E658B" w:rsidRDefault="003E658B" w:rsidP="003E658B">
      <w:pPr>
        <w:spacing w:line="276" w:lineRule="auto"/>
        <w:ind w:firstLine="708"/>
        <w:jc w:val="both"/>
      </w:pPr>
      <w:r>
        <w:t>Основная ц</w:t>
      </w:r>
      <w:r w:rsidRPr="001D0809">
        <w:t>ель намечаемой деятельности</w:t>
      </w:r>
      <w:r>
        <w:t xml:space="preserve"> состоит в </w:t>
      </w:r>
      <w:r w:rsidRPr="001D0809">
        <w:t>выполнени</w:t>
      </w:r>
      <w:r>
        <w:t xml:space="preserve">и комплекса </w:t>
      </w:r>
      <w:r w:rsidRPr="001D0809">
        <w:t>работ по ликвидации кисло-гудронного пруда № 1, 2 и рекультивации земель, нарушенных сооружением и эксплуатацией пруда</w:t>
      </w:r>
      <w:r>
        <w:t>.</w:t>
      </w:r>
    </w:p>
    <w:p w:rsidR="003E658B" w:rsidRDefault="003E658B" w:rsidP="003E658B">
      <w:pPr>
        <w:spacing w:line="276" w:lineRule="auto"/>
        <w:ind w:firstLine="708"/>
        <w:jc w:val="both"/>
      </w:pPr>
      <w:r>
        <w:t>В</w:t>
      </w:r>
      <w:r w:rsidRPr="001D0809">
        <w:t xml:space="preserve"> задач</w:t>
      </w:r>
      <w:r>
        <w:t>и</w:t>
      </w:r>
      <w:r w:rsidRPr="001D0809">
        <w:t xml:space="preserve"> проекта </w:t>
      </w:r>
      <w:r>
        <w:t>входит</w:t>
      </w:r>
      <w:r w:rsidRPr="001D0809">
        <w:t xml:space="preserve"> утилизация отхода </w:t>
      </w:r>
      <w:r>
        <w:t>–</w:t>
      </w:r>
      <w:r w:rsidRPr="001D0809">
        <w:t xml:space="preserve"> кислого гудрона </w:t>
      </w:r>
      <w:r>
        <w:t>(</w:t>
      </w:r>
      <w:r w:rsidRPr="001D0809">
        <w:t xml:space="preserve">II </w:t>
      </w:r>
      <w:proofErr w:type="spellStart"/>
      <w:r w:rsidRPr="001D0809">
        <w:t>кл</w:t>
      </w:r>
      <w:proofErr w:type="spellEnd"/>
      <w:r>
        <w:t>.</w:t>
      </w:r>
      <w:r w:rsidRPr="001D0809">
        <w:t xml:space="preserve"> опасности</w:t>
      </w:r>
      <w:r>
        <w:t>)</w:t>
      </w:r>
      <w:r w:rsidRPr="001D0809">
        <w:t xml:space="preserve"> с получением готовой продукции «Продукт нейтрализации» (ТУ 0258-001-21693591-2003) для использования в обратной засыпке пространства, освободившегося в результате выемки кислого гудрона (выравнивание ландшафта), проведение рекультивации земель, нарушенных сооружением и эксплуатацией пруда.</w:t>
      </w:r>
    </w:p>
    <w:p w:rsidR="003E658B" w:rsidRPr="00FD3545" w:rsidRDefault="003E658B" w:rsidP="003E658B">
      <w:pPr>
        <w:spacing w:line="276" w:lineRule="auto"/>
        <w:ind w:firstLine="708"/>
        <w:jc w:val="both"/>
      </w:pPr>
      <w:proofErr w:type="gramStart"/>
      <w:r w:rsidRPr="00FD3545">
        <w:t>Задачей рассматриваемой проектной документации «Корректировка проектно-сметной документации на ликвидацию кисло-гудронного пруда № 1,2 со склонами и рекультивация земель, нарушенных сооружением и эксплуатацией пруда», основанной  на ранее уже принятой технологии нейтрализации кислого гудрона, имеющей положительное заключение экологической экспертизы, является отражение тех работ, которые фактически были выполнены за период времени, прошедший после 2015 г.</w:t>
      </w:r>
      <w:proofErr w:type="gramEnd"/>
    </w:p>
    <w:p w:rsidR="003E658B" w:rsidRDefault="003E658B" w:rsidP="003E658B">
      <w:pPr>
        <w:spacing w:line="276" w:lineRule="auto"/>
        <w:ind w:firstLine="708"/>
        <w:jc w:val="both"/>
      </w:pPr>
      <w:r w:rsidRPr="00FD3545">
        <w:rPr>
          <w:szCs w:val="20"/>
        </w:rPr>
        <w:t>Таким образом, в рамках корректировки проектно-сметной документации, имеющей положительное заключение ГЭЭ, выполняется актуализация проектных решений без внесения изменений в технологию выполнения самих работ.</w:t>
      </w:r>
    </w:p>
    <w:p w:rsidR="003E658B" w:rsidRDefault="003E658B" w:rsidP="003E658B">
      <w:pPr>
        <w:spacing w:line="276" w:lineRule="auto"/>
        <w:ind w:firstLine="708"/>
        <w:jc w:val="both"/>
      </w:pPr>
      <w:r w:rsidRPr="001D0809">
        <w:t xml:space="preserve">Технология утилизации кислых гудронов и проектные решения на ликвидацию кисло-гудронного пруда № 1,2 с последующей рекультивацией нарушенных обустройством кисло-гудронного пруда земель позволят ликвидировать источник загрязнения атмосферного воздуха, грунтов и подземных вод, каковым является кисло-гудронный пруд, что исключит техногенную нагрузку на окружающую природную среду. </w:t>
      </w:r>
    </w:p>
    <w:p w:rsidR="003E658B" w:rsidRDefault="003E658B" w:rsidP="003E658B">
      <w:pPr>
        <w:spacing w:line="276" w:lineRule="auto"/>
        <w:ind w:firstLine="708"/>
        <w:jc w:val="both"/>
      </w:pPr>
    </w:p>
    <w:p w:rsidR="00F3480B" w:rsidRDefault="00F3480B" w:rsidP="003E658B">
      <w:pPr>
        <w:spacing w:line="276" w:lineRule="auto"/>
        <w:ind w:firstLine="708"/>
        <w:jc w:val="both"/>
      </w:pPr>
    </w:p>
    <w:p w:rsidR="00F3480B" w:rsidRDefault="00F3480B" w:rsidP="003E658B">
      <w:pPr>
        <w:spacing w:line="276" w:lineRule="auto"/>
        <w:ind w:firstLine="708"/>
        <w:jc w:val="both"/>
      </w:pPr>
    </w:p>
    <w:p w:rsidR="003E658B" w:rsidRDefault="003E658B" w:rsidP="003E658B">
      <w:pPr>
        <w:spacing w:line="276" w:lineRule="auto"/>
        <w:ind w:firstLine="708"/>
        <w:jc w:val="both"/>
      </w:pPr>
      <w:r w:rsidRPr="001D0809">
        <w:rPr>
          <w:b/>
        </w:rPr>
        <w:lastRenderedPageBreak/>
        <w:t>Общее описание технологической схемы выполнения работ</w:t>
      </w:r>
    </w:p>
    <w:p w:rsidR="003E658B" w:rsidRDefault="003E658B" w:rsidP="003E658B">
      <w:pPr>
        <w:spacing w:line="276" w:lineRule="auto"/>
        <w:ind w:firstLine="708"/>
        <w:jc w:val="both"/>
      </w:pPr>
      <w:r>
        <w:t xml:space="preserve">1. </w:t>
      </w:r>
      <w:r w:rsidRPr="001D0809">
        <w:t xml:space="preserve">Для выполнения работ кисло-гудронный пруд </w:t>
      </w:r>
      <w:r>
        <w:t xml:space="preserve">№ 1, 2 последовательно </w:t>
      </w:r>
      <w:r w:rsidRPr="001D0809">
        <w:t xml:space="preserve">разделяют на </w:t>
      </w:r>
      <w:r>
        <w:t xml:space="preserve">26 </w:t>
      </w:r>
      <w:r w:rsidRPr="001D0809">
        <w:t>карт.</w:t>
      </w:r>
    </w:p>
    <w:p w:rsidR="003E658B" w:rsidRDefault="003E658B" w:rsidP="003E658B">
      <w:pPr>
        <w:spacing w:line="276" w:lineRule="auto"/>
        <w:ind w:firstLine="708"/>
        <w:jc w:val="both"/>
      </w:pPr>
      <w:r>
        <w:t>2. Осуществляется подготовка площадок для нейтрализации кислого гудрона.</w:t>
      </w:r>
    </w:p>
    <w:p w:rsidR="003E658B" w:rsidRDefault="003E658B" w:rsidP="003E658B">
      <w:pPr>
        <w:spacing w:line="276" w:lineRule="auto"/>
        <w:ind w:firstLine="708"/>
        <w:jc w:val="both"/>
      </w:pPr>
      <w:r>
        <w:t>3. На склонах пруда производится с</w:t>
      </w:r>
      <w:r w:rsidRPr="001D0809">
        <w:t>резк</w:t>
      </w:r>
      <w:r>
        <w:t>а</w:t>
      </w:r>
      <w:r w:rsidRPr="001D0809">
        <w:t xml:space="preserve"> слоя кислого гудрона и загрязненно</w:t>
      </w:r>
      <w:r>
        <w:t>го</w:t>
      </w:r>
      <w:r w:rsidRPr="001D0809">
        <w:t xml:space="preserve"> кислым гудроном </w:t>
      </w:r>
      <w:r>
        <w:t>грунта, предусмотрено использование грунта со склонов пруда для дальнейшего использования в обустройстве разделительных дамб между картами.</w:t>
      </w:r>
    </w:p>
    <w:p w:rsidR="003E658B" w:rsidRDefault="003E658B" w:rsidP="003E658B">
      <w:pPr>
        <w:spacing w:line="276" w:lineRule="auto"/>
        <w:ind w:firstLine="708"/>
        <w:jc w:val="both"/>
      </w:pPr>
      <w:r>
        <w:t>4. После в</w:t>
      </w:r>
      <w:r w:rsidRPr="00BF688F">
        <w:t>ыемк</w:t>
      </w:r>
      <w:r>
        <w:t>и</w:t>
      </w:r>
      <w:r w:rsidRPr="00BF688F">
        <w:t xml:space="preserve"> кислого гудрона из рабочей карты</w:t>
      </w:r>
      <w:r>
        <w:t xml:space="preserve"> обеспечивается его транспортировка на площадку нейтрализации.</w:t>
      </w:r>
    </w:p>
    <w:p w:rsidR="003E658B" w:rsidRDefault="003E658B" w:rsidP="003E658B">
      <w:pPr>
        <w:spacing w:line="276" w:lineRule="auto"/>
        <w:ind w:firstLine="708"/>
        <w:jc w:val="both"/>
      </w:pPr>
      <w:r>
        <w:t>5. Для н</w:t>
      </w:r>
      <w:r w:rsidRPr="00BF688F">
        <w:t xml:space="preserve">ейтрализация кислого гудрона </w:t>
      </w:r>
      <w:r>
        <w:t xml:space="preserve">используется </w:t>
      </w:r>
      <w:r w:rsidRPr="00BF688F">
        <w:t>комплект оборудования</w:t>
      </w:r>
      <w:r>
        <w:t xml:space="preserve">, </w:t>
      </w:r>
      <w:r w:rsidRPr="00BF688F">
        <w:t xml:space="preserve"> </w:t>
      </w:r>
      <w:proofErr w:type="gramStart"/>
      <w:r w:rsidRPr="00BF688F">
        <w:t>включающим</w:t>
      </w:r>
      <w:proofErr w:type="gramEnd"/>
      <w:r w:rsidRPr="00BF688F">
        <w:t xml:space="preserve"> в себя: распределитель вяжущих материалов </w:t>
      </w:r>
      <w:proofErr w:type="spellStart"/>
      <w:r w:rsidRPr="00BF688F">
        <w:t>Streumaster</w:t>
      </w:r>
      <w:proofErr w:type="spellEnd"/>
      <w:r w:rsidRPr="00BF688F">
        <w:t xml:space="preserve"> SW10 TA, стабилизатор-</w:t>
      </w:r>
      <w:proofErr w:type="spellStart"/>
      <w:r w:rsidRPr="00BF688F">
        <w:t>рециклер</w:t>
      </w:r>
      <w:proofErr w:type="spellEnd"/>
      <w:r w:rsidRPr="00BF688F">
        <w:t xml:space="preserve"> грунта </w:t>
      </w:r>
      <w:proofErr w:type="spellStart"/>
      <w:r w:rsidRPr="00BF688F">
        <w:t>Wirtgen</w:t>
      </w:r>
      <w:proofErr w:type="spellEnd"/>
      <w:r w:rsidRPr="00BF688F">
        <w:t xml:space="preserve"> WR 2400, бульдозер </w:t>
      </w:r>
      <w:proofErr w:type="spellStart"/>
      <w:r w:rsidRPr="00BF688F">
        <w:t>Komatsu</w:t>
      </w:r>
      <w:proofErr w:type="spellEnd"/>
      <w:r w:rsidRPr="00BF688F">
        <w:t xml:space="preserve"> D65P-12.</w:t>
      </w:r>
    </w:p>
    <w:p w:rsidR="003E658B" w:rsidRDefault="003E658B" w:rsidP="003E658B">
      <w:pPr>
        <w:spacing w:line="276" w:lineRule="auto"/>
        <w:ind w:firstLine="708"/>
        <w:jc w:val="both"/>
      </w:pPr>
      <w:r>
        <w:t xml:space="preserve">6. Доставленный </w:t>
      </w:r>
      <w:r w:rsidRPr="00BF688F">
        <w:t xml:space="preserve">на площадку нейтрализации </w:t>
      </w:r>
      <w:r>
        <w:t>к</w:t>
      </w:r>
      <w:r w:rsidRPr="00BF688F">
        <w:t>ислый гудрон выливается равномерным слоем</w:t>
      </w:r>
      <w:r>
        <w:t>: д</w:t>
      </w:r>
      <w:r w:rsidRPr="00BF688F">
        <w:t>лина полосы кислого гудрона, вылитого из одной машины на площадку, составляет около 40 м, ширина 5,0-5,5 м, толщина слоя около 5 см.</w:t>
      </w:r>
    </w:p>
    <w:p w:rsidR="003E658B" w:rsidRDefault="003E658B" w:rsidP="003E658B">
      <w:pPr>
        <w:spacing w:line="276" w:lineRule="auto"/>
        <w:ind w:firstLine="708"/>
        <w:jc w:val="both"/>
      </w:pPr>
      <w:r>
        <w:t xml:space="preserve">7. На следующем этапе </w:t>
      </w:r>
      <w:r w:rsidRPr="00BF688F">
        <w:t>распределител</w:t>
      </w:r>
      <w:r>
        <w:t>ь</w:t>
      </w:r>
      <w:r w:rsidRPr="00BF688F">
        <w:t xml:space="preserve"> вяжущих материалов StreumasterSW10 TA равномерно </w:t>
      </w:r>
      <w:r>
        <w:t xml:space="preserve">покрывает </w:t>
      </w:r>
      <w:r w:rsidRPr="00BF688F">
        <w:t>поверхност</w:t>
      </w:r>
      <w:r>
        <w:t>ь</w:t>
      </w:r>
      <w:r w:rsidRPr="00BF688F">
        <w:t xml:space="preserve"> кислого гудрона</w:t>
      </w:r>
      <w:r>
        <w:t xml:space="preserve"> слоем негашеный </w:t>
      </w:r>
      <w:r w:rsidRPr="00BF688F">
        <w:t>извест</w:t>
      </w:r>
      <w:r>
        <w:t>и (</w:t>
      </w:r>
      <w:r w:rsidRPr="00BF688F">
        <w:t>2-4 см</w:t>
      </w:r>
      <w:proofErr w:type="gramStart"/>
      <w:r w:rsidRPr="00BF688F">
        <w:t xml:space="preserve"> </w:t>
      </w:r>
      <w:r>
        <w:t>)</w:t>
      </w:r>
      <w:proofErr w:type="gramEnd"/>
      <w:r>
        <w:t>.</w:t>
      </w:r>
    </w:p>
    <w:p w:rsidR="003E658B" w:rsidRDefault="003E658B" w:rsidP="003E658B">
      <w:pPr>
        <w:spacing w:line="276" w:lineRule="auto"/>
        <w:ind w:firstLine="708"/>
        <w:jc w:val="both"/>
      </w:pPr>
      <w:r>
        <w:t xml:space="preserve">8. </w:t>
      </w:r>
      <w:r w:rsidRPr="00BF688F">
        <w:t>Стабилизатор-</w:t>
      </w:r>
      <w:proofErr w:type="spellStart"/>
      <w:r w:rsidRPr="00BF688F">
        <w:t>рециклер</w:t>
      </w:r>
      <w:proofErr w:type="spellEnd"/>
      <w:r w:rsidRPr="00BF688F">
        <w:t xml:space="preserve"> грунта </w:t>
      </w:r>
      <w:proofErr w:type="spellStart"/>
      <w:r w:rsidRPr="00BF688F">
        <w:t>Wirtgen</w:t>
      </w:r>
      <w:proofErr w:type="spellEnd"/>
      <w:r w:rsidR="00F3480B">
        <w:t xml:space="preserve"> </w:t>
      </w:r>
      <w:r w:rsidRPr="00BF688F">
        <w:t xml:space="preserve">перемешивает (фрезерует) </w:t>
      </w:r>
      <w:r>
        <w:t xml:space="preserve">подготовленную </w:t>
      </w:r>
      <w:r w:rsidRPr="00BF688F">
        <w:t>полосу кислого гудрона</w:t>
      </w:r>
      <w:r>
        <w:t xml:space="preserve">, с нанесенным на предыдущем технологическом этапе слоем </w:t>
      </w:r>
      <w:r w:rsidRPr="00BF688F">
        <w:t>извест</w:t>
      </w:r>
      <w:r>
        <w:t>и</w:t>
      </w:r>
      <w:r w:rsidRPr="00BF688F">
        <w:t xml:space="preserve">. Для фрезерования на </w:t>
      </w:r>
      <w:proofErr w:type="spellStart"/>
      <w:r w:rsidRPr="00BF688F">
        <w:t>рециклере</w:t>
      </w:r>
      <w:proofErr w:type="spellEnd"/>
      <w:r w:rsidRPr="00BF688F">
        <w:t xml:space="preserve"> имеется рабочая камера, в которой установлены специальные резцы для перемешивания составляющих материалов.</w:t>
      </w:r>
    </w:p>
    <w:p w:rsidR="003E658B" w:rsidRDefault="003E658B" w:rsidP="003E658B">
      <w:pPr>
        <w:spacing w:line="276" w:lineRule="auto"/>
        <w:ind w:firstLine="708"/>
        <w:jc w:val="both"/>
      </w:pPr>
      <w:r>
        <w:t xml:space="preserve">9. </w:t>
      </w:r>
      <w:r w:rsidRPr="00BF688F">
        <w:t>После завершения перемешивания нейтрализованную массу (продукт нейтрализации кислого гудрона) оставляют на 1-2 сутки</w:t>
      </w:r>
      <w:r>
        <w:t xml:space="preserve">, далее происходит </w:t>
      </w:r>
      <w:r w:rsidRPr="00BF688F">
        <w:t>отб</w:t>
      </w:r>
      <w:r>
        <w:t>о</w:t>
      </w:r>
      <w:r w:rsidRPr="00BF688F">
        <w:t xml:space="preserve">р проб </w:t>
      </w:r>
      <w:r>
        <w:t xml:space="preserve">для их </w:t>
      </w:r>
      <w:r w:rsidRPr="00BF688F">
        <w:t>лаборатор</w:t>
      </w:r>
      <w:r>
        <w:t>ного исследования, по результата</w:t>
      </w:r>
      <w:r w:rsidR="00F3480B">
        <w:t>м</w:t>
      </w:r>
      <w:r>
        <w:t xml:space="preserve"> котор</w:t>
      </w:r>
      <w:r w:rsidR="00F3480B">
        <w:t>ого</w:t>
      </w:r>
      <w:r>
        <w:t xml:space="preserve"> </w:t>
      </w:r>
      <w:proofErr w:type="gramStart"/>
      <w:r>
        <w:t>производится</w:t>
      </w:r>
      <w:proofErr w:type="gramEnd"/>
      <w:r>
        <w:t xml:space="preserve"> оценка показателей качества партии готовой продукции</w:t>
      </w:r>
      <w:r w:rsidRPr="00BF688F">
        <w:t>.</w:t>
      </w:r>
    </w:p>
    <w:p w:rsidR="003E658B" w:rsidRDefault="003E658B" w:rsidP="003E658B">
      <w:pPr>
        <w:spacing w:line="276" w:lineRule="auto"/>
        <w:ind w:firstLine="708"/>
        <w:jc w:val="both"/>
      </w:pPr>
      <w:r>
        <w:t xml:space="preserve">10. Освободившееся пространство рабочей карты выстилают </w:t>
      </w:r>
      <w:r w:rsidRPr="00426DAD">
        <w:t>противофильтрационн</w:t>
      </w:r>
      <w:r>
        <w:t>ым</w:t>
      </w:r>
      <w:r w:rsidRPr="00426DAD">
        <w:t xml:space="preserve"> экран</w:t>
      </w:r>
      <w:r>
        <w:t>ом</w:t>
      </w:r>
      <w:r w:rsidR="00F3480B">
        <w:t xml:space="preserve"> </w:t>
      </w:r>
      <w:r>
        <w:t>с</w:t>
      </w:r>
      <w:r w:rsidRPr="00426DAD">
        <w:t xml:space="preserve"> применение</w:t>
      </w:r>
      <w:r>
        <w:t>м</w:t>
      </w:r>
      <w:r w:rsidRPr="00426DAD">
        <w:t xml:space="preserve"> рулонного экранирующего </w:t>
      </w:r>
      <w:r>
        <w:t xml:space="preserve">материала </w:t>
      </w:r>
      <w:r w:rsidRPr="00426DAD">
        <w:t>БГ-Мат марки «</w:t>
      </w:r>
      <w:proofErr w:type="spellStart"/>
      <w:r w:rsidRPr="00426DAD">
        <w:t>Неосинт</w:t>
      </w:r>
      <w:proofErr w:type="spellEnd"/>
      <w:r w:rsidRPr="00426DAD">
        <w:t>»</w:t>
      </w:r>
      <w:r>
        <w:t xml:space="preserve"> согласно </w:t>
      </w:r>
      <w:r w:rsidRPr="00426DAD">
        <w:t>проектным решениям и рекомендациям завода-изготовителя.</w:t>
      </w:r>
    </w:p>
    <w:p w:rsidR="00F3480B" w:rsidRDefault="003E658B" w:rsidP="00F3480B">
      <w:pPr>
        <w:spacing w:line="276" w:lineRule="auto"/>
        <w:ind w:firstLine="708"/>
        <w:jc w:val="both"/>
      </w:pPr>
      <w:r>
        <w:t xml:space="preserve">11. </w:t>
      </w:r>
      <w:r w:rsidR="00F3480B" w:rsidRPr="00AA3DCA">
        <w:t>В экранированное ложе рабочей карты перемещается продукт нейтрализации, при</w:t>
      </w:r>
      <w:r w:rsidR="00F3480B">
        <w:t xml:space="preserve"> выполнени</w:t>
      </w:r>
      <w:r w:rsidR="00F3480B">
        <w:t>и</w:t>
      </w:r>
      <w:r w:rsidR="00F3480B">
        <w:t xml:space="preserve"> требований контроля по показателям качества (п.</w:t>
      </w:r>
      <w:r w:rsidR="00F3480B">
        <w:t xml:space="preserve"> </w:t>
      </w:r>
      <w:r w:rsidR="00F3480B">
        <w:t>9).</w:t>
      </w:r>
    </w:p>
    <w:p w:rsidR="003E658B" w:rsidRDefault="003E658B" w:rsidP="003E658B">
      <w:pPr>
        <w:spacing w:line="276" w:lineRule="auto"/>
        <w:ind w:firstLine="708"/>
        <w:jc w:val="both"/>
      </w:pPr>
      <w:r>
        <w:t xml:space="preserve">12. Последовательное выполнение </w:t>
      </w:r>
      <w:r w:rsidR="00F3480B">
        <w:t xml:space="preserve">операций </w:t>
      </w:r>
      <w:proofErr w:type="spellStart"/>
      <w:r w:rsidR="00F3480B">
        <w:t>пп</w:t>
      </w:r>
      <w:proofErr w:type="spellEnd"/>
      <w:r w:rsidR="00F3480B">
        <w:t>.</w:t>
      </w:r>
      <w:r>
        <w:t xml:space="preserve"> 1-11 обеспечивает нейтрализаци</w:t>
      </w:r>
      <w:r w:rsidR="00F3480B">
        <w:t>ю</w:t>
      </w:r>
      <w:r>
        <w:t xml:space="preserve"> всего объема кислого гудрона и засыпку образующихся отрицательных форм рельефа.</w:t>
      </w:r>
    </w:p>
    <w:p w:rsidR="003E658B" w:rsidRDefault="003E658B" w:rsidP="003E658B">
      <w:pPr>
        <w:spacing w:line="276" w:lineRule="auto"/>
        <w:ind w:firstLine="708"/>
        <w:jc w:val="both"/>
      </w:pPr>
      <w:r>
        <w:t>13. Завершающим шагом работ является р</w:t>
      </w:r>
      <w:r w:rsidRPr="00426DAD">
        <w:t>екультиваци</w:t>
      </w:r>
      <w:r>
        <w:t xml:space="preserve">я нарушенных земель, включающая </w:t>
      </w:r>
      <w:r w:rsidRPr="00426DAD">
        <w:t>в себя технический и биологический этапы.</w:t>
      </w:r>
    </w:p>
    <w:p w:rsidR="003E658B" w:rsidRDefault="003E658B" w:rsidP="003E658B">
      <w:pPr>
        <w:spacing w:line="276" w:lineRule="auto"/>
        <w:ind w:firstLine="708"/>
        <w:jc w:val="both"/>
      </w:pPr>
      <w:r>
        <w:t>14. На техническом этапе рекультивации выполняются работы по подготовке территории, планировке поверхности, обустройству экранирующего слоя, доставка и нанесению плодородного слоя почвы.</w:t>
      </w:r>
    </w:p>
    <w:p w:rsidR="003E658B" w:rsidRDefault="003E658B" w:rsidP="003E658B">
      <w:pPr>
        <w:spacing w:line="276" w:lineRule="auto"/>
        <w:ind w:firstLine="708"/>
        <w:jc w:val="both"/>
      </w:pPr>
      <w:r>
        <w:t xml:space="preserve">15. Биологический этап рекультивации </w:t>
      </w:r>
      <w:r w:rsidRPr="008308EA">
        <w:t>включа</w:t>
      </w:r>
      <w:r>
        <w:t>е</w:t>
      </w:r>
      <w:r w:rsidRPr="008308EA">
        <w:t xml:space="preserve">т в себя комплекс агротехнических и фитомелиоративных мероприятий, направленных на создание условий, обеспечивающих стабильное формирование травяного покрова на </w:t>
      </w:r>
      <w:proofErr w:type="spellStart"/>
      <w:r w:rsidRPr="008308EA">
        <w:t>рекультивируемых</w:t>
      </w:r>
      <w:proofErr w:type="spellEnd"/>
      <w:r w:rsidRPr="008308EA">
        <w:t xml:space="preserve"> землях</w:t>
      </w:r>
      <w:r>
        <w:t>.</w:t>
      </w:r>
    </w:p>
    <w:p w:rsidR="001004AF" w:rsidRDefault="003E658B" w:rsidP="00F3480B">
      <w:pPr>
        <w:spacing w:line="276" w:lineRule="auto"/>
        <w:ind w:firstLine="708"/>
        <w:jc w:val="both"/>
        <w:rPr>
          <w:sz w:val="20"/>
          <w:szCs w:val="20"/>
        </w:rPr>
      </w:pPr>
      <w:r>
        <w:t xml:space="preserve">16. </w:t>
      </w:r>
      <w:r w:rsidRPr="008308EA">
        <w:t xml:space="preserve">После </w:t>
      </w:r>
      <w:r>
        <w:t>реализации намечаемой деятельности (</w:t>
      </w:r>
      <w:proofErr w:type="spellStart"/>
      <w:r>
        <w:t>пп</w:t>
      </w:r>
      <w:proofErr w:type="spellEnd"/>
      <w:r>
        <w:t xml:space="preserve">. 1-15) </w:t>
      </w:r>
      <w:r w:rsidRPr="008308EA">
        <w:t xml:space="preserve">проектом предусматривается строительство </w:t>
      </w:r>
      <w:proofErr w:type="spellStart"/>
      <w:r w:rsidRPr="008308EA">
        <w:t>гидронаблюдательных</w:t>
      </w:r>
      <w:proofErr w:type="spellEnd"/>
      <w:r w:rsidRPr="008308EA">
        <w:t xml:space="preserve"> скважин</w:t>
      </w:r>
      <w:r>
        <w:t xml:space="preserve"> для </w:t>
      </w:r>
      <w:proofErr w:type="spellStart"/>
      <w:r>
        <w:t>постпроектного</w:t>
      </w:r>
      <w:proofErr w:type="spellEnd"/>
      <w:r>
        <w:t xml:space="preserve"> экологического контроля и м</w:t>
      </w:r>
      <w:r w:rsidRPr="008308EA">
        <w:t>ониторинг</w:t>
      </w:r>
      <w:r>
        <w:t>а</w:t>
      </w:r>
      <w:r w:rsidRPr="008308EA">
        <w:t xml:space="preserve"> подземных вод</w:t>
      </w:r>
      <w:r>
        <w:t>.</w:t>
      </w:r>
    </w:p>
    <w:sectPr w:rsidR="001004AF" w:rsidSect="003E658B">
      <w:headerReference w:type="even" r:id="rId9"/>
      <w:headerReference w:type="default" r:id="rId10"/>
      <w:footerReference w:type="even" r:id="rId11"/>
      <w:footerReference w:type="default" r:id="rId12"/>
      <w:headerReference w:type="first" r:id="rId13"/>
      <w:footerReference w:type="first" r:id="rId14"/>
      <w:pgSz w:w="11906" w:h="16838"/>
      <w:pgMar w:top="1134" w:right="851" w:bottom="284" w:left="1701" w:header="709" w:footer="1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B60" w:rsidRDefault="00371B60">
      <w:r>
        <w:separator/>
      </w:r>
    </w:p>
  </w:endnote>
  <w:endnote w:type="continuationSeparator" w:id="0">
    <w:p w:rsidR="00371B60" w:rsidRDefault="00371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80B" w:rsidRDefault="00F3480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80B" w:rsidRDefault="00F3480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80B" w:rsidRDefault="00F3480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B60" w:rsidRDefault="00371B60">
      <w:r>
        <w:separator/>
      </w:r>
    </w:p>
  </w:footnote>
  <w:footnote w:type="continuationSeparator" w:id="0">
    <w:p w:rsidR="00371B60" w:rsidRDefault="00371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80B" w:rsidRDefault="00F3480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279" w:rsidRPr="002A4236" w:rsidRDefault="00395279" w:rsidP="00395279">
    <w:pPr>
      <w:pStyle w:val="3"/>
      <w:jc w:val="center"/>
    </w:pPr>
    <w:r w:rsidRPr="002A4236">
      <w:rPr>
        <w:bCs w:val="0"/>
        <w:color w:val="000000"/>
      </w:rPr>
      <w:t>Открытое  акционерное  общество</w:t>
    </w:r>
  </w:p>
  <w:p w:rsidR="00395279" w:rsidRPr="00BD735F" w:rsidRDefault="00395279" w:rsidP="00395279">
    <w:pPr>
      <w:pStyle w:val="2"/>
      <w:rPr>
        <w:bCs w:val="0"/>
        <w:color w:val="000000"/>
        <w:sz w:val="28"/>
        <w:szCs w:val="28"/>
      </w:rPr>
    </w:pPr>
    <w:r>
      <w:rPr>
        <w:bCs w:val="0"/>
        <w:color w:val="000000"/>
        <w:sz w:val="28"/>
        <w:szCs w:val="28"/>
      </w:rPr>
      <w:t xml:space="preserve">“Ярославский нефтеперерабатывающий завод им. Д.И. </w:t>
    </w:r>
    <w:r w:rsidRPr="002A4236">
      <w:rPr>
        <w:bCs w:val="0"/>
        <w:color w:val="000000"/>
        <w:sz w:val="28"/>
        <w:szCs w:val="28"/>
      </w:rPr>
      <w:t>М</w:t>
    </w:r>
    <w:r>
      <w:rPr>
        <w:bCs w:val="0"/>
        <w:color w:val="000000"/>
        <w:sz w:val="28"/>
        <w:szCs w:val="28"/>
      </w:rPr>
      <w:t>енделеева”</w:t>
    </w:r>
  </w:p>
  <w:p w:rsidR="00395279" w:rsidRPr="00BD735F" w:rsidRDefault="00395279" w:rsidP="00395279">
    <w:pPr>
      <w:pStyle w:val="a5"/>
      <w:jc w:val="center"/>
    </w:pPr>
    <w:r>
      <w:t>ОАО «ЯНПЗ им. Д.И. Менделеева»</w:t>
    </w:r>
  </w:p>
  <w:p w:rsidR="00395279" w:rsidRDefault="0039527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9DC" w:rsidRDefault="007179DC" w:rsidP="000D31FF">
    <w:pPr>
      <w:pStyle w:val="3"/>
      <w:jc w:val="center"/>
      <w:rPr>
        <w:bCs w:val="0"/>
        <w:color w:val="000000"/>
      </w:rPr>
    </w:pPr>
  </w:p>
  <w:p w:rsidR="000D31FF" w:rsidRPr="007179DC" w:rsidRDefault="000D31FF" w:rsidP="000D31FF">
    <w:pPr>
      <w:pStyle w:val="3"/>
      <w:jc w:val="center"/>
    </w:pPr>
    <w:r w:rsidRPr="007179DC">
      <w:rPr>
        <w:bCs w:val="0"/>
        <w:color w:val="000000"/>
      </w:rPr>
      <w:t>Открытое  акционерное  общество</w:t>
    </w:r>
  </w:p>
  <w:p w:rsidR="000D31FF" w:rsidRPr="007179DC" w:rsidRDefault="000D31FF" w:rsidP="000D31FF">
    <w:pPr>
      <w:pStyle w:val="2"/>
      <w:rPr>
        <w:bCs w:val="0"/>
        <w:color w:val="000000"/>
        <w:sz w:val="24"/>
      </w:rPr>
    </w:pPr>
    <w:r w:rsidRPr="007179DC">
      <w:rPr>
        <w:bCs w:val="0"/>
        <w:color w:val="000000"/>
        <w:sz w:val="24"/>
      </w:rPr>
      <w:t>“Ярославский нефтеперерабатывающий завод им. Д.И. М</w:t>
    </w:r>
    <w:r w:rsidR="00BD735F" w:rsidRPr="007179DC">
      <w:rPr>
        <w:bCs w:val="0"/>
        <w:color w:val="000000"/>
        <w:sz w:val="24"/>
      </w:rPr>
      <w:t>енделеева”</w:t>
    </w:r>
  </w:p>
  <w:p w:rsidR="000D31FF" w:rsidRPr="007179DC" w:rsidRDefault="000D31FF" w:rsidP="000D31FF">
    <w:pPr>
      <w:pStyle w:val="a5"/>
      <w:jc w:val="center"/>
      <w:rPr>
        <w:b/>
      </w:rPr>
    </w:pPr>
    <w:r w:rsidRPr="007179DC">
      <w:rPr>
        <w:b/>
      </w:rPr>
      <w:t>ОАО «</w:t>
    </w:r>
    <w:r w:rsidR="00BD735F" w:rsidRPr="007179DC">
      <w:rPr>
        <w:b/>
      </w:rPr>
      <w:t>ЯНПЗ им. Д.И. Менделеева»</w:t>
    </w:r>
  </w:p>
  <w:p w:rsidR="00395279" w:rsidRPr="00756096" w:rsidRDefault="00395279">
    <w:pP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01EA"/>
    <w:multiLevelType w:val="hybridMultilevel"/>
    <w:tmpl w:val="17103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454CDB"/>
    <w:multiLevelType w:val="hybridMultilevel"/>
    <w:tmpl w:val="82BCCA2C"/>
    <w:lvl w:ilvl="0" w:tplc="58BA5C0A">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nsid w:val="343061C8"/>
    <w:multiLevelType w:val="hybridMultilevel"/>
    <w:tmpl w:val="11DC8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894184"/>
    <w:multiLevelType w:val="hybridMultilevel"/>
    <w:tmpl w:val="6F4043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26A7A34"/>
    <w:multiLevelType w:val="hybridMultilevel"/>
    <w:tmpl w:val="1BF02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FC1468"/>
    <w:multiLevelType w:val="hybridMultilevel"/>
    <w:tmpl w:val="D2CEA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52220"/>
    <w:rsid w:val="00010A25"/>
    <w:rsid w:val="0001214B"/>
    <w:rsid w:val="00055F11"/>
    <w:rsid w:val="00066BA4"/>
    <w:rsid w:val="00077EBD"/>
    <w:rsid w:val="000D31FF"/>
    <w:rsid w:val="000D3A19"/>
    <w:rsid w:val="000F6AA7"/>
    <w:rsid w:val="000F785B"/>
    <w:rsid w:val="001004AF"/>
    <w:rsid w:val="00100EDD"/>
    <w:rsid w:val="0010483F"/>
    <w:rsid w:val="00115EC3"/>
    <w:rsid w:val="00146216"/>
    <w:rsid w:val="00153ABA"/>
    <w:rsid w:val="00163D5A"/>
    <w:rsid w:val="001733C7"/>
    <w:rsid w:val="00190C92"/>
    <w:rsid w:val="001C3251"/>
    <w:rsid w:val="001D3681"/>
    <w:rsid w:val="001E53CB"/>
    <w:rsid w:val="001F1F4E"/>
    <w:rsid w:val="00201D57"/>
    <w:rsid w:val="00211FF5"/>
    <w:rsid w:val="00217964"/>
    <w:rsid w:val="00233508"/>
    <w:rsid w:val="00264F1D"/>
    <w:rsid w:val="00265C7E"/>
    <w:rsid w:val="00275ACB"/>
    <w:rsid w:val="002951CA"/>
    <w:rsid w:val="002A4236"/>
    <w:rsid w:val="002C0D06"/>
    <w:rsid w:val="002D17F9"/>
    <w:rsid w:val="00300219"/>
    <w:rsid w:val="00300F96"/>
    <w:rsid w:val="0030325F"/>
    <w:rsid w:val="00313DAF"/>
    <w:rsid w:val="0033139C"/>
    <w:rsid w:val="00336306"/>
    <w:rsid w:val="00354BFD"/>
    <w:rsid w:val="0036334B"/>
    <w:rsid w:val="00371B60"/>
    <w:rsid w:val="00395279"/>
    <w:rsid w:val="003B068B"/>
    <w:rsid w:val="003C716A"/>
    <w:rsid w:val="003E1838"/>
    <w:rsid w:val="003E658B"/>
    <w:rsid w:val="00403F93"/>
    <w:rsid w:val="0045402E"/>
    <w:rsid w:val="004C3ACB"/>
    <w:rsid w:val="004C44D0"/>
    <w:rsid w:val="004D76AD"/>
    <w:rsid w:val="004F4AE6"/>
    <w:rsid w:val="004F7EBD"/>
    <w:rsid w:val="0050620B"/>
    <w:rsid w:val="00520E9C"/>
    <w:rsid w:val="00527048"/>
    <w:rsid w:val="00543600"/>
    <w:rsid w:val="0056150A"/>
    <w:rsid w:val="005B1172"/>
    <w:rsid w:val="005C25E8"/>
    <w:rsid w:val="005F2950"/>
    <w:rsid w:val="00624F97"/>
    <w:rsid w:val="00632575"/>
    <w:rsid w:val="00660F19"/>
    <w:rsid w:val="006858FF"/>
    <w:rsid w:val="0069505C"/>
    <w:rsid w:val="006C7511"/>
    <w:rsid w:val="006D2EC4"/>
    <w:rsid w:val="006F0A7D"/>
    <w:rsid w:val="006F2F86"/>
    <w:rsid w:val="006F4047"/>
    <w:rsid w:val="00712A51"/>
    <w:rsid w:val="007179DC"/>
    <w:rsid w:val="00755FB7"/>
    <w:rsid w:val="00756096"/>
    <w:rsid w:val="00787524"/>
    <w:rsid w:val="007901D3"/>
    <w:rsid w:val="00795F5F"/>
    <w:rsid w:val="007A1936"/>
    <w:rsid w:val="007B33A1"/>
    <w:rsid w:val="007C32F4"/>
    <w:rsid w:val="007D0DAD"/>
    <w:rsid w:val="007E05F4"/>
    <w:rsid w:val="007E0BEA"/>
    <w:rsid w:val="007E5A52"/>
    <w:rsid w:val="007F41FF"/>
    <w:rsid w:val="007F5CC4"/>
    <w:rsid w:val="008160CC"/>
    <w:rsid w:val="00851968"/>
    <w:rsid w:val="00854D98"/>
    <w:rsid w:val="008622E0"/>
    <w:rsid w:val="0088424B"/>
    <w:rsid w:val="00895A01"/>
    <w:rsid w:val="0089601D"/>
    <w:rsid w:val="008A0B68"/>
    <w:rsid w:val="008C4C96"/>
    <w:rsid w:val="008E1C4F"/>
    <w:rsid w:val="008E4F90"/>
    <w:rsid w:val="008E6A70"/>
    <w:rsid w:val="008E7636"/>
    <w:rsid w:val="00905C85"/>
    <w:rsid w:val="00926B7B"/>
    <w:rsid w:val="009411D0"/>
    <w:rsid w:val="00957753"/>
    <w:rsid w:val="00961AC1"/>
    <w:rsid w:val="00962882"/>
    <w:rsid w:val="00963942"/>
    <w:rsid w:val="009C3AFD"/>
    <w:rsid w:val="009E5AA4"/>
    <w:rsid w:val="009E73A9"/>
    <w:rsid w:val="009F30BA"/>
    <w:rsid w:val="00A000E2"/>
    <w:rsid w:val="00A01C4D"/>
    <w:rsid w:val="00A3539C"/>
    <w:rsid w:val="00A45F32"/>
    <w:rsid w:val="00A51E14"/>
    <w:rsid w:val="00A538B0"/>
    <w:rsid w:val="00A75D18"/>
    <w:rsid w:val="00A9030D"/>
    <w:rsid w:val="00A973AF"/>
    <w:rsid w:val="00A977AA"/>
    <w:rsid w:val="00AA48D2"/>
    <w:rsid w:val="00AC3CA9"/>
    <w:rsid w:val="00AD4A06"/>
    <w:rsid w:val="00AD76CF"/>
    <w:rsid w:val="00AE0DE1"/>
    <w:rsid w:val="00AF0AF1"/>
    <w:rsid w:val="00AF3B3B"/>
    <w:rsid w:val="00B427E9"/>
    <w:rsid w:val="00B42EDB"/>
    <w:rsid w:val="00B45683"/>
    <w:rsid w:val="00B52831"/>
    <w:rsid w:val="00B716FA"/>
    <w:rsid w:val="00B82E60"/>
    <w:rsid w:val="00B82FA4"/>
    <w:rsid w:val="00B8491B"/>
    <w:rsid w:val="00B84F85"/>
    <w:rsid w:val="00BA1197"/>
    <w:rsid w:val="00BB0C7C"/>
    <w:rsid w:val="00BB332C"/>
    <w:rsid w:val="00BD735F"/>
    <w:rsid w:val="00C032A2"/>
    <w:rsid w:val="00C03A46"/>
    <w:rsid w:val="00C05CEB"/>
    <w:rsid w:val="00C14B02"/>
    <w:rsid w:val="00C2617A"/>
    <w:rsid w:val="00C3486F"/>
    <w:rsid w:val="00CC6D9F"/>
    <w:rsid w:val="00D00E7B"/>
    <w:rsid w:val="00D523DB"/>
    <w:rsid w:val="00D55442"/>
    <w:rsid w:val="00DB4301"/>
    <w:rsid w:val="00DC4640"/>
    <w:rsid w:val="00DD4839"/>
    <w:rsid w:val="00DD6DDA"/>
    <w:rsid w:val="00DE2B4E"/>
    <w:rsid w:val="00DF4FE8"/>
    <w:rsid w:val="00E15077"/>
    <w:rsid w:val="00E20A5D"/>
    <w:rsid w:val="00E25DEA"/>
    <w:rsid w:val="00E41DAA"/>
    <w:rsid w:val="00E4604B"/>
    <w:rsid w:val="00E52220"/>
    <w:rsid w:val="00E56A27"/>
    <w:rsid w:val="00E56A97"/>
    <w:rsid w:val="00E64584"/>
    <w:rsid w:val="00E677FF"/>
    <w:rsid w:val="00E973B2"/>
    <w:rsid w:val="00EB3D29"/>
    <w:rsid w:val="00EB4E83"/>
    <w:rsid w:val="00EB53D4"/>
    <w:rsid w:val="00EB77E1"/>
    <w:rsid w:val="00EC0F18"/>
    <w:rsid w:val="00EC192A"/>
    <w:rsid w:val="00EC43D9"/>
    <w:rsid w:val="00ED6977"/>
    <w:rsid w:val="00EF1817"/>
    <w:rsid w:val="00F040D9"/>
    <w:rsid w:val="00F06226"/>
    <w:rsid w:val="00F06536"/>
    <w:rsid w:val="00F10EB3"/>
    <w:rsid w:val="00F231D1"/>
    <w:rsid w:val="00F23643"/>
    <w:rsid w:val="00F3480B"/>
    <w:rsid w:val="00F41029"/>
    <w:rsid w:val="00F61FD7"/>
    <w:rsid w:val="00F66E69"/>
    <w:rsid w:val="00F77BFC"/>
    <w:rsid w:val="00FE6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7EBD"/>
    <w:rPr>
      <w:sz w:val="24"/>
      <w:szCs w:val="24"/>
    </w:rPr>
  </w:style>
  <w:style w:type="paragraph" w:styleId="1">
    <w:name w:val="heading 1"/>
    <w:basedOn w:val="a"/>
    <w:next w:val="a"/>
    <w:qFormat/>
    <w:rsid w:val="00077EBD"/>
    <w:pPr>
      <w:keepNext/>
      <w:ind w:firstLine="1080"/>
      <w:jc w:val="both"/>
      <w:outlineLvl w:val="0"/>
    </w:pPr>
    <w:rPr>
      <w:sz w:val="28"/>
    </w:rPr>
  </w:style>
  <w:style w:type="paragraph" w:styleId="2">
    <w:name w:val="heading 2"/>
    <w:basedOn w:val="a"/>
    <w:next w:val="a"/>
    <w:qFormat/>
    <w:rsid w:val="00077EBD"/>
    <w:pPr>
      <w:keepNext/>
      <w:jc w:val="center"/>
      <w:outlineLvl w:val="1"/>
    </w:pPr>
    <w:rPr>
      <w:b/>
      <w:bCs/>
      <w:sz w:val="16"/>
    </w:rPr>
  </w:style>
  <w:style w:type="paragraph" w:styleId="3">
    <w:name w:val="heading 3"/>
    <w:basedOn w:val="a"/>
    <w:next w:val="a"/>
    <w:qFormat/>
    <w:rsid w:val="00077EBD"/>
    <w:pPr>
      <w:keepNext/>
      <w:jc w:val="right"/>
      <w:outlineLvl w:val="2"/>
    </w:pPr>
    <w:rPr>
      <w:b/>
      <w:bCs/>
    </w:rPr>
  </w:style>
  <w:style w:type="paragraph" w:styleId="4">
    <w:name w:val="heading 4"/>
    <w:basedOn w:val="a"/>
    <w:next w:val="a"/>
    <w:qFormat/>
    <w:rsid w:val="00077EBD"/>
    <w:pPr>
      <w:keepNext/>
      <w:spacing w:line="360" w:lineRule="auto"/>
      <w:ind w:firstLine="1080"/>
      <w:outlineLvl w:val="3"/>
    </w:pPr>
    <w:rPr>
      <w:sz w:val="28"/>
    </w:rPr>
  </w:style>
  <w:style w:type="paragraph" w:styleId="5">
    <w:name w:val="heading 5"/>
    <w:basedOn w:val="a"/>
    <w:next w:val="a"/>
    <w:qFormat/>
    <w:rsid w:val="00077EBD"/>
    <w:pPr>
      <w:keepNext/>
      <w:ind w:firstLine="1260"/>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077EBD"/>
    <w:pPr>
      <w:ind w:left="5760"/>
    </w:pPr>
  </w:style>
  <w:style w:type="paragraph" w:styleId="a3">
    <w:name w:val="Body Text"/>
    <w:basedOn w:val="a"/>
    <w:rsid w:val="00077EBD"/>
    <w:pPr>
      <w:jc w:val="center"/>
    </w:pPr>
    <w:rPr>
      <w:b/>
      <w:bCs/>
      <w:sz w:val="40"/>
    </w:rPr>
  </w:style>
  <w:style w:type="paragraph" w:styleId="21">
    <w:name w:val="Body Text 2"/>
    <w:basedOn w:val="a"/>
    <w:rsid w:val="00077EBD"/>
    <w:pPr>
      <w:jc w:val="center"/>
    </w:pPr>
    <w:rPr>
      <w:b/>
      <w:bCs/>
      <w:sz w:val="16"/>
    </w:rPr>
  </w:style>
  <w:style w:type="paragraph" w:styleId="30">
    <w:name w:val="Body Text 3"/>
    <w:basedOn w:val="a"/>
    <w:rsid w:val="00077EBD"/>
    <w:rPr>
      <w:sz w:val="28"/>
    </w:rPr>
  </w:style>
  <w:style w:type="paragraph" w:styleId="a4">
    <w:name w:val="Body Text Indent"/>
    <w:basedOn w:val="a"/>
    <w:rsid w:val="00077EBD"/>
    <w:pPr>
      <w:ind w:firstLine="1260"/>
    </w:pPr>
  </w:style>
  <w:style w:type="paragraph" w:styleId="a5">
    <w:name w:val="header"/>
    <w:basedOn w:val="a"/>
    <w:rsid w:val="00077EBD"/>
    <w:pPr>
      <w:tabs>
        <w:tab w:val="center" w:pos="4677"/>
        <w:tab w:val="right" w:pos="9355"/>
      </w:tabs>
    </w:pPr>
  </w:style>
  <w:style w:type="paragraph" w:styleId="a6">
    <w:name w:val="footer"/>
    <w:basedOn w:val="a"/>
    <w:link w:val="a7"/>
    <w:uiPriority w:val="99"/>
    <w:rsid w:val="00077EBD"/>
    <w:pPr>
      <w:tabs>
        <w:tab w:val="center" w:pos="4677"/>
        <w:tab w:val="right" w:pos="9355"/>
      </w:tabs>
    </w:pPr>
  </w:style>
  <w:style w:type="paragraph" w:styleId="a8">
    <w:name w:val="Balloon Text"/>
    <w:basedOn w:val="a"/>
    <w:semiHidden/>
    <w:rsid w:val="009C3AFD"/>
    <w:rPr>
      <w:rFonts w:ascii="Tahoma" w:hAnsi="Tahoma" w:cs="Tahoma"/>
      <w:sz w:val="16"/>
      <w:szCs w:val="16"/>
    </w:rPr>
  </w:style>
  <w:style w:type="character" w:customStyle="1" w:styleId="a7">
    <w:name w:val="Нижний колонтитул Знак"/>
    <w:basedOn w:val="a0"/>
    <w:link w:val="a6"/>
    <w:uiPriority w:val="99"/>
    <w:rsid w:val="00A977A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02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darAA\Desktop\&#1057;&#1083;&#1091;&#1078;&#1077;&#1073;&#1085;&#1072;&#1103;%20&#1079;&#1072;&#1087;&#1080;&#1089;&#1082;&#1072;%20&#1041;&#1083;&#1072;&#1085;&#1082;%2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19F59-64F5-4663-9AA7-87D1945D4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Служебная записка Бланк 1.dotx</Template>
  <TotalTime>33</TotalTime>
  <Pages>2</Pages>
  <Words>858</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ОАО «Славнефть» Ярославский НПЗ им</vt:lpstr>
    </vt:vector>
  </TitlesOfParts>
  <Company>Завод им. Менделеева</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«Славнефть» Ярославский НПЗ им</dc:title>
  <dc:creator>BondarAA</dc:creator>
  <cp:lastModifiedBy>ARTEM</cp:lastModifiedBy>
  <cp:revision>16</cp:revision>
  <cp:lastPrinted>2019-01-23T06:10:00Z</cp:lastPrinted>
  <dcterms:created xsi:type="dcterms:W3CDTF">2016-08-02T08:13:00Z</dcterms:created>
  <dcterms:modified xsi:type="dcterms:W3CDTF">2020-07-10T16:34:00Z</dcterms:modified>
</cp:coreProperties>
</file>