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A0" w:rsidRPr="00356044" w:rsidRDefault="00435CA0" w:rsidP="00320459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>Договор на право размещения нестационарного</w:t>
      </w:r>
    </w:p>
    <w:p w:rsidR="00435CA0" w:rsidRPr="00356044" w:rsidRDefault="00435CA0" w:rsidP="00A05FCE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>торгового объекта</w:t>
      </w:r>
    </w:p>
    <w:p w:rsidR="00435CA0" w:rsidRPr="00356044" w:rsidRDefault="00435CA0" w:rsidP="00A05FCE">
      <w:pPr>
        <w:autoSpaceDE w:val="0"/>
        <w:autoSpaceDN w:val="0"/>
        <w:jc w:val="center"/>
        <w:rPr>
          <w:b/>
          <w:sz w:val="28"/>
          <w:szCs w:val="28"/>
        </w:rPr>
      </w:pPr>
      <w:r w:rsidRPr="00356044">
        <w:rPr>
          <w:sz w:val="28"/>
          <w:szCs w:val="28"/>
        </w:rPr>
        <w:t xml:space="preserve">(для </w:t>
      </w:r>
      <w:r>
        <w:rPr>
          <w:sz w:val="28"/>
          <w:szCs w:val="28"/>
        </w:rPr>
        <w:t>НТО, кроме торговых павильонов, киосков, торговых галерей, остановочно-торговых</w:t>
      </w:r>
      <w:r w:rsidRPr="00356044">
        <w:rPr>
          <w:sz w:val="28"/>
          <w:szCs w:val="28"/>
        </w:rPr>
        <w:t xml:space="preserve"> модул</w:t>
      </w:r>
      <w:r>
        <w:rPr>
          <w:sz w:val="28"/>
          <w:szCs w:val="28"/>
        </w:rPr>
        <w:t>ей</w:t>
      </w:r>
      <w:r w:rsidRPr="00356044">
        <w:rPr>
          <w:sz w:val="28"/>
          <w:szCs w:val="28"/>
        </w:rPr>
        <w:t xml:space="preserve">) </w:t>
      </w:r>
    </w:p>
    <w:p w:rsidR="00435CA0" w:rsidRPr="00356044" w:rsidRDefault="00435CA0" w:rsidP="00A05FCE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A05FCE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A05FCE">
      <w:pPr>
        <w:autoSpaceDE w:val="0"/>
        <w:autoSpaceDN w:val="0"/>
        <w:rPr>
          <w:color w:val="FF0000"/>
          <w:sz w:val="28"/>
          <w:szCs w:val="28"/>
        </w:rPr>
      </w:pPr>
      <w:r w:rsidRPr="00356044">
        <w:rPr>
          <w:sz w:val="28"/>
          <w:szCs w:val="28"/>
        </w:rPr>
        <w:t>г.</w:t>
      </w:r>
      <w:r>
        <w:rPr>
          <w:sz w:val="28"/>
          <w:szCs w:val="28"/>
        </w:rPr>
        <w:t xml:space="preserve"> Тутаев</w:t>
      </w:r>
      <w:r w:rsidRPr="00356044">
        <w:rPr>
          <w:sz w:val="28"/>
          <w:szCs w:val="28"/>
        </w:rPr>
        <w:t xml:space="preserve">, Ярославская область  </w:t>
      </w:r>
      <w:r>
        <w:rPr>
          <w:sz w:val="28"/>
          <w:szCs w:val="28"/>
        </w:rPr>
        <w:t xml:space="preserve">                      «__»________________20</w:t>
      </w:r>
      <w:r w:rsidR="00346CFA">
        <w:rPr>
          <w:sz w:val="28"/>
          <w:szCs w:val="28"/>
        </w:rPr>
        <w:t>20</w:t>
      </w:r>
      <w:r w:rsidRPr="00356044">
        <w:rPr>
          <w:sz w:val="28"/>
          <w:szCs w:val="28"/>
        </w:rPr>
        <w:t xml:space="preserve"> г.</w:t>
      </w:r>
    </w:p>
    <w:p w:rsidR="00435CA0" w:rsidRPr="00356044" w:rsidRDefault="00435CA0" w:rsidP="00A05FCE">
      <w:pPr>
        <w:autoSpaceDE w:val="0"/>
        <w:autoSpaceDN w:val="0"/>
        <w:rPr>
          <w:sz w:val="28"/>
          <w:szCs w:val="28"/>
        </w:rPr>
      </w:pPr>
    </w:p>
    <w:p w:rsidR="00435CA0" w:rsidRDefault="00435CA0" w:rsidP="00A05FCE">
      <w:pPr>
        <w:autoSpaceDE w:val="0"/>
        <w:autoSpaceDN w:val="0"/>
        <w:rPr>
          <w:sz w:val="28"/>
          <w:szCs w:val="28"/>
        </w:rPr>
      </w:pPr>
    </w:p>
    <w:p w:rsidR="00435CA0" w:rsidRDefault="00435CA0" w:rsidP="00320459">
      <w:pPr>
        <w:autoSpaceDE w:val="0"/>
        <w:autoSpaceDN w:val="0"/>
        <w:ind w:firstLine="360"/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Департамент муниципального имущества Администрации Тутаевского муниципального имущества, в лице </w:t>
      </w:r>
      <w:r w:rsidR="00283CEB">
        <w:rPr>
          <w:sz w:val="28"/>
          <w:szCs w:val="28"/>
        </w:rPr>
        <w:t>И.о.</w:t>
      </w:r>
      <w:r w:rsidRPr="00320459">
        <w:rPr>
          <w:sz w:val="28"/>
          <w:szCs w:val="28"/>
        </w:rPr>
        <w:t xml:space="preserve">Заместителя Главы Администрации ТМР по имущественным вопросам - директора Департамента муниципального имущества Администрации ТМР </w:t>
      </w:r>
      <w:r w:rsidR="00283CEB">
        <w:rPr>
          <w:sz w:val="28"/>
          <w:szCs w:val="28"/>
        </w:rPr>
        <w:t>Израйлевой Александры Вадимовны</w:t>
      </w:r>
      <w:r w:rsidRPr="00320459">
        <w:rPr>
          <w:sz w:val="28"/>
          <w:szCs w:val="28"/>
        </w:rPr>
        <w:t xml:space="preserve">, действующего на основании Положения о департаменте МИ администрации ТМР (новая редакция), утвержденного Постановлением Главы ТМР № 41 от 27.01.2009, зарегистрированного  3 февраля </w:t>
      </w:r>
      <w:smartTag w:uri="urn:schemas-microsoft-com:office:smarttags" w:element="metricconverter">
        <w:smartTagPr>
          <w:attr w:name="ProductID" w:val="2009 г"/>
        </w:smartTagPr>
        <w:r w:rsidRPr="00320459">
          <w:rPr>
            <w:sz w:val="28"/>
            <w:szCs w:val="28"/>
          </w:rPr>
          <w:t>2009 г</w:t>
        </w:r>
      </w:smartTag>
      <w:r w:rsidRPr="00320459">
        <w:rPr>
          <w:sz w:val="28"/>
          <w:szCs w:val="28"/>
        </w:rPr>
        <w:t xml:space="preserve">. МИФНС № 4 по Ярославской области, и Распоряжения Администрации ТМР № 208-кл   от 12.09.2017 года, юридический адрес: Ярославская область, г. Тутаев, </w:t>
      </w:r>
      <w:r>
        <w:rPr>
          <w:sz w:val="28"/>
          <w:szCs w:val="28"/>
        </w:rPr>
        <w:t xml:space="preserve"> </w:t>
      </w:r>
      <w:r w:rsidRPr="00320459">
        <w:rPr>
          <w:sz w:val="28"/>
          <w:szCs w:val="28"/>
        </w:rPr>
        <w:t>ул. Романовская, д. 35, именуемый в дальнейшем «Департамент»,</w:t>
      </w:r>
      <w:r w:rsidRPr="00356044">
        <w:rPr>
          <w:sz w:val="28"/>
          <w:szCs w:val="28"/>
        </w:rPr>
        <w:t xml:space="preserve"> и _________________________________, действующего на основании ______________________, именуемый в дальнейшем «Владелец нестационарного торгового объекта», а вместе именуемые Стороны, заключили на основании</w:t>
      </w:r>
      <w:r>
        <w:rPr>
          <w:sz w:val="28"/>
          <w:szCs w:val="28"/>
        </w:rPr>
        <w:t xml:space="preserve"> _______________________ </w:t>
      </w:r>
      <w:r w:rsidRPr="00356044">
        <w:rPr>
          <w:sz w:val="28"/>
          <w:szCs w:val="28"/>
        </w:rPr>
        <w:t>настоящий договор (далее - Договор), о нижеследующем: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</w:p>
    <w:p w:rsidR="00435CA0" w:rsidRPr="00C21C74" w:rsidRDefault="00435CA0" w:rsidP="00C21C74">
      <w:pPr>
        <w:pStyle w:val="af5"/>
        <w:numPr>
          <w:ilvl w:val="0"/>
          <w:numId w:val="6"/>
        </w:numPr>
        <w:autoSpaceDE w:val="0"/>
        <w:autoSpaceDN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Предмет договора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  <w:lang w:val="en-US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1.1.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>» предоставляет «Владельцу нестационарного торгового объекта» право на размещение нестационарного торгового объекта, указанного в п.1.2.,1.3. Договора (далее - нес</w:t>
      </w:r>
      <w:r>
        <w:rPr>
          <w:sz w:val="28"/>
          <w:szCs w:val="28"/>
        </w:rPr>
        <w:t xml:space="preserve">тационарный торговый объект) по </w:t>
      </w:r>
      <w:r w:rsidRPr="00356044">
        <w:rPr>
          <w:sz w:val="28"/>
          <w:szCs w:val="28"/>
        </w:rPr>
        <w:t>адресу:_____________________________</w:t>
      </w:r>
      <w:r>
        <w:rPr>
          <w:sz w:val="28"/>
          <w:szCs w:val="28"/>
        </w:rPr>
        <w:t>_______________________________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площадью_________ (далее - место размещения объекта) и включенном в схему размещения нестационарных торговых объектов на территории городского </w:t>
      </w:r>
      <w:r>
        <w:rPr>
          <w:sz w:val="28"/>
          <w:szCs w:val="28"/>
        </w:rPr>
        <w:t>поселения Тутаев</w:t>
      </w:r>
      <w:r w:rsidRPr="00356044">
        <w:rPr>
          <w:sz w:val="28"/>
          <w:szCs w:val="28"/>
        </w:rPr>
        <w:t xml:space="preserve">, утвержденную постановлением Администрации </w:t>
      </w:r>
      <w:r>
        <w:rPr>
          <w:sz w:val="28"/>
          <w:szCs w:val="28"/>
        </w:rPr>
        <w:t>Тутаевского муниципального района</w:t>
      </w:r>
      <w:r w:rsidRPr="00356044">
        <w:rPr>
          <w:sz w:val="28"/>
          <w:szCs w:val="28"/>
        </w:rPr>
        <w:t xml:space="preserve"> (далее - Схема), а «Владелец нестационарного торгового объекта» обязуется разместить и обеспечить функционирование нестационарного торгового объекта в течение всего срока действия настоящего Договора в соответствии с действующим законодательством и условиями, установленными настоящим Договором.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1.2.Тип нестационарного торгового объекта: ___________________; площадь_____кв.м.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1.3. Вид реализуемой продук</w:t>
      </w:r>
      <w:bookmarkStart w:id="0" w:name="_GoBack"/>
      <w:bookmarkEnd w:id="0"/>
      <w:r w:rsidRPr="00356044">
        <w:rPr>
          <w:sz w:val="28"/>
          <w:szCs w:val="28"/>
        </w:rPr>
        <w:t>ции в нестационарном торговом объекте:___________________________________________</w:t>
      </w:r>
    </w:p>
    <w:p w:rsidR="00435CA0" w:rsidRDefault="00435CA0" w:rsidP="00263EB0">
      <w:pPr>
        <w:autoSpaceDE w:val="0"/>
        <w:autoSpaceDN w:val="0"/>
        <w:jc w:val="both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</w:p>
    <w:p w:rsidR="00435CA0" w:rsidRPr="00C21C74" w:rsidRDefault="00435CA0" w:rsidP="00C21C74">
      <w:pPr>
        <w:pStyle w:val="af5"/>
        <w:numPr>
          <w:ilvl w:val="0"/>
          <w:numId w:val="6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Права и обязанности Сторон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2.1.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>» обязан:</w:t>
      </w:r>
    </w:p>
    <w:p w:rsidR="00435CA0" w:rsidRPr="00356044" w:rsidRDefault="00435CA0" w:rsidP="00263EB0">
      <w:pPr>
        <w:autoSpaceDE w:val="0"/>
        <w:autoSpaceDN w:val="0"/>
        <w:jc w:val="both"/>
        <w:rPr>
          <w:color w:val="FF0000"/>
          <w:sz w:val="28"/>
          <w:szCs w:val="28"/>
        </w:rPr>
      </w:pPr>
      <w:r w:rsidRPr="00356044">
        <w:rPr>
          <w:sz w:val="28"/>
          <w:szCs w:val="28"/>
        </w:rPr>
        <w:t>2.1.1. Предоставить место размещения объекта по акту приема - передачи в течение 3-х рабочих дней со дня заключения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2.1.2. Принять место размещения объекта по акту приема – сдачи после его освобождения от нестационарного торгового объекта в соответствии с настоящим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оговором.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2.1.3. В случае необходимости освобождения места размещения объекта для нужд города предложить «Владельцу нестационарного торгового объекта»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торгов до окончания срока действия Договора в порядке, установленном </w:t>
      </w:r>
      <w:hyperlink r:id="rId8" w:history="1">
        <w:r w:rsidRPr="00356044">
          <w:rPr>
            <w:sz w:val="28"/>
            <w:szCs w:val="28"/>
          </w:rPr>
          <w:t>пунктом 7.</w:t>
        </w:r>
      </w:hyperlink>
      <w:r w:rsidRPr="00356044">
        <w:rPr>
          <w:sz w:val="28"/>
          <w:szCs w:val="28"/>
        </w:rPr>
        <w:t>2.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2.2.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>» вправе: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2.2.1. Осуществлять контроль за своевременностью и полнотой внесения платы за  право на размещение нестационарного торгового объекта.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2.2.2. Составлять акты о соблюдении «Владельцем нестационарного торгового объекта» условий Договора.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2.2.3. Предъявлять «Владельцу нестационарного торгового объекта» требование об уплате неустойки за нарушение обязательств, предусмотренных Договором, в соответствии с </w:t>
      </w:r>
      <w:hyperlink r:id="rId9" w:history="1">
        <w:r w:rsidRPr="00356044">
          <w:rPr>
            <w:sz w:val="28"/>
            <w:szCs w:val="28"/>
          </w:rPr>
          <w:t>разделом 5</w:t>
        </w:r>
      </w:hyperlink>
      <w:r w:rsidRPr="00356044">
        <w:rPr>
          <w:sz w:val="28"/>
          <w:szCs w:val="28"/>
        </w:rPr>
        <w:t xml:space="preserve">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2.2.4. В одностороннем порядке досрочно расторгнуть Договор в случаях, предусмотренных Договором.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2.2.5</w:t>
      </w:r>
      <w:r w:rsidRPr="00356044">
        <w:rPr>
          <w:sz w:val="28"/>
          <w:szCs w:val="28"/>
        </w:rPr>
        <w:t>. Осуществлять самостоятельно или с привлечением третьих лиц освобождение места размещения объекта от нестационарного торгового объекта при неисполнении «Владельцем нестационарного торгового объекта» обязанности, установленной настоящим договором, с последующим возмещением «Владельцем нестационарного торгового объекта» всех расходов, связанных с таким освобождением.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2.3. «Владелец нестационарного торгового объекта» обязан: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2.3.1. Своевременно и полностью вносить плату за право на размещение нестационарного торгового объекта в размере и порядке, установленном настоящим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оговором.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2.3.2. Разместить нестационарный торговый объект по адресу, указанному в п.1.1.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оговора, сохранять месторасположение нестационарного торгового объекта в течение срока действия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2.3.3. Использовать нестационарный торговый объект с характеристиками, указанными в пунктах 1.1,1.2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 xml:space="preserve">оговора, в течение всего срока действия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2.3.4. Сохранять вид реализуемой продукции нестационарного торгового объекта, указанного в п.1.3. Договора в течение срока действия договора.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2.3.5. Обеспечить соответствие нестационарного торгового объекта условиям настоящего Договора, Положению о порядке размещения нестационарных торговых объектов  на территории городского </w:t>
      </w:r>
      <w:r>
        <w:rPr>
          <w:sz w:val="28"/>
          <w:szCs w:val="28"/>
        </w:rPr>
        <w:t>поселения Тутаев</w:t>
      </w:r>
      <w:r w:rsidRPr="00356044">
        <w:rPr>
          <w:sz w:val="28"/>
          <w:szCs w:val="28"/>
        </w:rPr>
        <w:t xml:space="preserve">, Правилам </w:t>
      </w:r>
      <w:r w:rsidRPr="00356044">
        <w:rPr>
          <w:sz w:val="28"/>
          <w:szCs w:val="28"/>
        </w:rPr>
        <w:lastRenderedPageBreak/>
        <w:t>благоустройства и обеспечения санитарного состояния территории город</w:t>
      </w:r>
      <w:r>
        <w:rPr>
          <w:sz w:val="28"/>
          <w:szCs w:val="28"/>
        </w:rPr>
        <w:t>а Тутаев</w:t>
      </w:r>
      <w:r w:rsidRPr="00356044">
        <w:rPr>
          <w:sz w:val="28"/>
          <w:szCs w:val="28"/>
        </w:rPr>
        <w:t>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Обеспечить соблюдение требований к благоустройству и содержанию (уборке) территории, прилегающей к нестационарному торговому объекту в радиусе </w:t>
      </w:r>
      <w:smartTag w:uri="urn:schemas-microsoft-com:office:smarttags" w:element="metricconverter">
        <w:smartTagPr>
          <w:attr w:name="ProductID" w:val="10 метров"/>
        </w:smartTagPr>
        <w:r w:rsidRPr="00356044">
          <w:rPr>
            <w:sz w:val="28"/>
            <w:szCs w:val="28"/>
          </w:rPr>
          <w:t>10 метров</w:t>
        </w:r>
      </w:smartTag>
      <w:r w:rsidRPr="00356044">
        <w:rPr>
          <w:sz w:val="28"/>
          <w:szCs w:val="28"/>
        </w:rPr>
        <w:t xml:space="preserve"> в соответствии с настоящим договором, Правилами благоустройства и обеспечения санитарного состояния территории </w:t>
      </w:r>
      <w:r>
        <w:rPr>
          <w:sz w:val="28"/>
          <w:szCs w:val="28"/>
        </w:rPr>
        <w:t>города Тутаев</w:t>
      </w:r>
      <w:r w:rsidRPr="00356044">
        <w:rPr>
          <w:sz w:val="28"/>
          <w:szCs w:val="28"/>
        </w:rPr>
        <w:t>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Осуществлять 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2.3.6. Незамедлительно освободить место размещения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2.3.7. Освободить занимаемое место размещения объекта от нестационарного торгового объекта, передать его «</w:t>
      </w:r>
      <w:r>
        <w:rPr>
          <w:sz w:val="28"/>
          <w:szCs w:val="28"/>
        </w:rPr>
        <w:t>Департаменту</w:t>
      </w:r>
      <w:r w:rsidRPr="00356044">
        <w:rPr>
          <w:sz w:val="28"/>
          <w:szCs w:val="28"/>
        </w:rPr>
        <w:t>» по акту приема-сдачи в течение 10 рабочих дней по окончании срока действия Договора или в случае досрочного расторжения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2.3.8. Использовать нестационарный торговый объект для осуществления торговой деятельности в соответствии с требованиями действующего законодательства.  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2.3.9. Переместить нестационарный торговый объект с места его размещения на компенсационное место в соответствии с </w:t>
      </w:r>
      <w:hyperlink r:id="rId10" w:history="1">
        <w:r w:rsidRPr="00356044">
          <w:rPr>
            <w:sz w:val="28"/>
            <w:szCs w:val="28"/>
          </w:rPr>
          <w:t>пунктом 7.</w:t>
        </w:r>
      </w:hyperlink>
      <w:r w:rsidRPr="00356044">
        <w:rPr>
          <w:sz w:val="28"/>
          <w:szCs w:val="28"/>
        </w:rPr>
        <w:t>2.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0"/>
          <w:szCs w:val="20"/>
        </w:rPr>
      </w:pPr>
      <w:r w:rsidRPr="00356044">
        <w:rPr>
          <w:sz w:val="28"/>
          <w:szCs w:val="28"/>
        </w:rPr>
        <w:t>2.3.10. При осуществлении торговой деятельности соблюдать требования законодательства в сфере продажи алкогольной, табачной продукции, а также санитарно - эпидемиологические требования к организациям торговли.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2.4. «Владелец нестационарного торгового объекта» вправе: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2.4.1.Требовать от «</w:t>
      </w:r>
      <w:r>
        <w:rPr>
          <w:sz w:val="28"/>
          <w:szCs w:val="28"/>
        </w:rPr>
        <w:t>Департамента</w:t>
      </w:r>
      <w:r w:rsidRPr="00356044">
        <w:rPr>
          <w:sz w:val="28"/>
          <w:szCs w:val="28"/>
        </w:rPr>
        <w:t>» предоставления места размещения объекта согласно Схеме.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2.4.2. Иметь беспрепятственный доступ к месту размещения объекта, указанному в </w:t>
      </w:r>
      <w:hyperlink r:id="rId11" w:history="1">
        <w:r w:rsidRPr="00356044">
          <w:rPr>
            <w:sz w:val="28"/>
            <w:szCs w:val="28"/>
          </w:rPr>
          <w:t>пункте 1.1</w:t>
        </w:r>
      </w:hyperlink>
      <w:r w:rsidRPr="00356044">
        <w:rPr>
          <w:sz w:val="28"/>
          <w:szCs w:val="28"/>
        </w:rPr>
        <w:t xml:space="preserve"> Договора, с целью осуществления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2.4.3. «Владелец нестационарного торгового объекта» не вправе передавать права и обязанности по Договору третьему лицу.</w:t>
      </w:r>
    </w:p>
    <w:p w:rsidR="00435CA0" w:rsidRPr="00356044" w:rsidRDefault="00435CA0" w:rsidP="00263EB0">
      <w:pPr>
        <w:autoSpaceDE w:val="0"/>
        <w:autoSpaceDN w:val="0"/>
        <w:jc w:val="both"/>
        <w:rPr>
          <w:color w:val="FF0000"/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>3. Размер, порядок и сроки оплаты за право размещения не</w:t>
      </w:r>
      <w:r>
        <w:rPr>
          <w:sz w:val="28"/>
          <w:szCs w:val="28"/>
        </w:rPr>
        <w:t>стационарного торгового объекта</w:t>
      </w:r>
    </w:p>
    <w:p w:rsidR="00435CA0" w:rsidRPr="00356044" w:rsidRDefault="00435CA0" w:rsidP="00263EB0">
      <w:pPr>
        <w:autoSpaceDE w:val="0"/>
        <w:autoSpaceDN w:val="0"/>
        <w:jc w:val="center"/>
        <w:rPr>
          <w:color w:val="FF0000"/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3.1. В соответствие с итогами аукциона плата за право на размещение нестационарного торгового объекта составляет  _______руб.</w:t>
      </w:r>
    </w:p>
    <w:p w:rsidR="00435CA0" w:rsidRDefault="00435CA0" w:rsidP="004F3316">
      <w:pPr>
        <w:jc w:val="both"/>
        <w:rPr>
          <w:sz w:val="28"/>
          <w:szCs w:val="28"/>
        </w:rPr>
      </w:pPr>
      <w:r w:rsidRPr="00356044">
        <w:rPr>
          <w:sz w:val="28"/>
          <w:szCs w:val="28"/>
        </w:rPr>
        <w:t>3.2. Оплата суммы в размере_______ осуществляется ежемесячно равными платежами с перечислением суммы до 10 числа текущего месяца, в течение всего срока действия Договора по следующим реквизитам:</w:t>
      </w:r>
    </w:p>
    <w:p w:rsidR="00346CFA" w:rsidRDefault="00435CA0" w:rsidP="004F3316">
      <w:pPr>
        <w:jc w:val="both"/>
        <w:rPr>
          <w:kern w:val="22"/>
          <w:sz w:val="28"/>
          <w:szCs w:val="28"/>
        </w:rPr>
      </w:pPr>
      <w:r w:rsidRPr="004F3316">
        <w:rPr>
          <w:kern w:val="22"/>
          <w:sz w:val="28"/>
          <w:szCs w:val="28"/>
        </w:rPr>
        <w:t xml:space="preserve">        </w:t>
      </w:r>
      <w:r w:rsidRPr="004F3316">
        <w:rPr>
          <w:kern w:val="22"/>
          <w:sz w:val="28"/>
          <w:szCs w:val="28"/>
          <w:u w:val="single"/>
        </w:rPr>
        <w:t>Получатель</w:t>
      </w:r>
      <w:r w:rsidRPr="004F3316">
        <w:rPr>
          <w:kern w:val="22"/>
          <w:sz w:val="28"/>
          <w:szCs w:val="28"/>
        </w:rPr>
        <w:t>:</w:t>
      </w:r>
    </w:p>
    <w:p w:rsidR="00346CFA" w:rsidRDefault="00346CFA" w:rsidP="004F3316">
      <w:pPr>
        <w:jc w:val="both"/>
        <w:rPr>
          <w:kern w:val="22"/>
          <w:sz w:val="28"/>
          <w:szCs w:val="28"/>
        </w:rPr>
      </w:pPr>
    </w:p>
    <w:p w:rsidR="00346CFA" w:rsidRPr="00FA0B62" w:rsidRDefault="00346CFA" w:rsidP="00346CFA">
      <w:pPr>
        <w:ind w:firstLine="709"/>
        <w:jc w:val="both"/>
        <w:rPr>
          <w:sz w:val="28"/>
          <w:szCs w:val="28"/>
        </w:rPr>
      </w:pPr>
      <w:r w:rsidRPr="00FA0B62">
        <w:rPr>
          <w:sz w:val="28"/>
          <w:szCs w:val="28"/>
        </w:rPr>
        <w:t>Получатель: УФК по Ярославской области (для Департамента муниципального имущества Администрации ТМР, л/с 04713003420)</w:t>
      </w:r>
    </w:p>
    <w:p w:rsidR="00346CFA" w:rsidRPr="00FA0B62" w:rsidRDefault="00346CFA" w:rsidP="00346CFA">
      <w:pPr>
        <w:ind w:firstLine="709"/>
        <w:jc w:val="both"/>
        <w:rPr>
          <w:sz w:val="28"/>
          <w:szCs w:val="28"/>
        </w:rPr>
      </w:pPr>
      <w:r w:rsidRPr="00FA0B62">
        <w:rPr>
          <w:sz w:val="28"/>
          <w:szCs w:val="28"/>
        </w:rPr>
        <w:t>ИНН 7611008006; КПП 761101001</w:t>
      </w:r>
    </w:p>
    <w:p w:rsidR="00346CFA" w:rsidRPr="00FA0B62" w:rsidRDefault="00346CFA" w:rsidP="00346CFA">
      <w:pPr>
        <w:ind w:firstLine="709"/>
        <w:jc w:val="both"/>
        <w:rPr>
          <w:sz w:val="28"/>
          <w:szCs w:val="28"/>
        </w:rPr>
      </w:pPr>
      <w:r w:rsidRPr="00FA0B62">
        <w:rPr>
          <w:sz w:val="28"/>
          <w:szCs w:val="28"/>
        </w:rPr>
        <w:t>Счет получателя 03100643000000017100</w:t>
      </w:r>
    </w:p>
    <w:p w:rsidR="00346CFA" w:rsidRPr="00FA0B62" w:rsidRDefault="00346CFA" w:rsidP="00346CFA">
      <w:pPr>
        <w:ind w:firstLine="709"/>
        <w:jc w:val="both"/>
        <w:rPr>
          <w:sz w:val="28"/>
          <w:szCs w:val="28"/>
        </w:rPr>
      </w:pPr>
      <w:r w:rsidRPr="00FA0B62">
        <w:rPr>
          <w:sz w:val="28"/>
          <w:szCs w:val="28"/>
        </w:rPr>
        <w:t>Банк: Отделение Ярославль Банка России// УФК по Ярославской области</w:t>
      </w:r>
      <w:r>
        <w:rPr>
          <w:sz w:val="28"/>
          <w:szCs w:val="28"/>
        </w:rPr>
        <w:t xml:space="preserve"> </w:t>
      </w:r>
      <w:r w:rsidRPr="00FA0B62">
        <w:rPr>
          <w:sz w:val="28"/>
          <w:szCs w:val="28"/>
        </w:rPr>
        <w:t xml:space="preserve">г. Ярославль, </w:t>
      </w:r>
      <w:r>
        <w:rPr>
          <w:sz w:val="28"/>
          <w:szCs w:val="28"/>
        </w:rPr>
        <w:t xml:space="preserve">Счет Банка </w:t>
      </w:r>
      <w:r w:rsidRPr="00FA0B62">
        <w:rPr>
          <w:sz w:val="28"/>
          <w:szCs w:val="28"/>
        </w:rPr>
        <w:t>40102810245370000065</w:t>
      </w:r>
    </w:p>
    <w:p w:rsidR="00346CFA" w:rsidRDefault="00346CFA" w:rsidP="00346C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Банка 017888102, </w:t>
      </w:r>
      <w:r w:rsidRPr="004F3316">
        <w:rPr>
          <w:sz w:val="28"/>
          <w:szCs w:val="28"/>
        </w:rPr>
        <w:t>ОКТМО 78643101, К</w:t>
      </w:r>
      <w:r w:rsidRPr="004F3316">
        <w:rPr>
          <w:kern w:val="22"/>
          <w:sz w:val="28"/>
          <w:szCs w:val="28"/>
        </w:rPr>
        <w:t>БК  9</w:t>
      </w:r>
      <w:r>
        <w:rPr>
          <w:kern w:val="22"/>
          <w:sz w:val="28"/>
          <w:szCs w:val="28"/>
        </w:rPr>
        <w:t>52</w:t>
      </w:r>
      <w:r w:rsidRPr="004F3316">
        <w:rPr>
          <w:kern w:val="22"/>
          <w:sz w:val="28"/>
          <w:szCs w:val="28"/>
        </w:rPr>
        <w:t xml:space="preserve">11705050130000180.      </w:t>
      </w:r>
    </w:p>
    <w:p w:rsidR="00435CA0" w:rsidRPr="004F3316" w:rsidRDefault="00435CA0" w:rsidP="004F3316">
      <w:pPr>
        <w:jc w:val="both"/>
        <w:rPr>
          <w:color w:val="FF0000"/>
          <w:sz w:val="28"/>
          <w:szCs w:val="28"/>
        </w:rPr>
      </w:pPr>
      <w:r w:rsidRPr="004F3316">
        <w:rPr>
          <w:kern w:val="22"/>
          <w:sz w:val="28"/>
          <w:szCs w:val="28"/>
        </w:rPr>
        <w:t xml:space="preserve">    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«Владелец нестационарного торгового объекта» вправе досрочно оплатить цену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color w:val="FF0000"/>
          <w:sz w:val="28"/>
          <w:szCs w:val="28"/>
        </w:rPr>
      </w:pPr>
      <w:r w:rsidRPr="00356044">
        <w:rPr>
          <w:sz w:val="28"/>
          <w:szCs w:val="28"/>
        </w:rPr>
        <w:t>3.3. При досрочном расторжении Договора или отказе «Владельца нестационарного торгового объекта» от права на  размещение нестационарного торгового объекта уплаченная сумма не возвращается.</w:t>
      </w:r>
    </w:p>
    <w:p w:rsidR="00435CA0" w:rsidRPr="00356044" w:rsidRDefault="00435CA0" w:rsidP="00263EB0">
      <w:pPr>
        <w:autoSpaceDE w:val="0"/>
        <w:autoSpaceDN w:val="0"/>
        <w:jc w:val="both"/>
        <w:rPr>
          <w:color w:val="FF0000"/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 xml:space="preserve">4. Срок действия </w:t>
      </w:r>
      <w:r>
        <w:rPr>
          <w:sz w:val="28"/>
          <w:szCs w:val="28"/>
        </w:rPr>
        <w:t>Договора</w:t>
      </w:r>
    </w:p>
    <w:p w:rsidR="00435CA0" w:rsidRPr="00356044" w:rsidRDefault="00435CA0" w:rsidP="00263EB0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Договор действует с «___» _____________ 20___ г. по «___» ____________ 20___ г., а в части исполнения обязательств, предусмотренных </w:t>
      </w:r>
      <w:hyperlink r:id="rId12" w:history="1">
        <w:r w:rsidRPr="00356044">
          <w:rPr>
            <w:sz w:val="28"/>
            <w:szCs w:val="28"/>
          </w:rPr>
          <w:t>разделом 3</w:t>
        </w:r>
      </w:hyperlink>
      <w:r w:rsidRPr="00356044">
        <w:rPr>
          <w:sz w:val="28"/>
          <w:szCs w:val="28"/>
        </w:rPr>
        <w:t xml:space="preserve"> Договора, а также обязательств, связанных с освобождением места размещения объекта от нестационарного торгового объекта, - до момента исполнения таких обязательств.</w:t>
      </w:r>
    </w:p>
    <w:p w:rsidR="00435CA0" w:rsidRDefault="00435CA0" w:rsidP="00263EB0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>5. Ответственность «Владельца нес</w:t>
      </w:r>
      <w:r>
        <w:rPr>
          <w:sz w:val="28"/>
          <w:szCs w:val="28"/>
        </w:rPr>
        <w:t>тационарного торгового объекта»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5.1. «Владелец нестационарного торгового объекта» несет ответственность за размещение нестационарного торгового объекта в соответствии с характеристиками  п.1.2.,1.3. Договора, в месте размещения объекта, указанном в пункте 1.1. Договора, за пожарную безопасность нестационарного торгового объекта, а также за его надлежащее содержание.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Ответственность за любой ущерб или вред, причиненный при размещении и функционировании нестационарного торгового объекта, несет «Владелец нестационарного торгового объекта».</w:t>
      </w:r>
    </w:p>
    <w:p w:rsidR="00435CA0" w:rsidRPr="00356044" w:rsidRDefault="00435CA0" w:rsidP="00263EB0">
      <w:pPr>
        <w:autoSpaceDE w:val="0"/>
        <w:autoSpaceDN w:val="0"/>
        <w:spacing w:after="12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5.2. В случае однократного нарушения обязательств, предусмотренных подпунктами 2.3.1.- 2.3.5. пункта 2.3. Договора, «Владелец нестационарного торгового объекта» выплачивает неустойку в размере 10% от цены права на размещение нестационарного торгового объекта, указанной в п.3.1. Договора, а при повторном нарушении указанных в настоящем подпункте обязательств- 25% от цены права на размещение нестационарного торгового объекта, указанной в п.3.1.Договора.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 xml:space="preserve">6. Расторжение </w:t>
      </w:r>
      <w:r>
        <w:rPr>
          <w:sz w:val="28"/>
          <w:szCs w:val="28"/>
        </w:rPr>
        <w:t>Договора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 Договор подлежит расторжению «</w:t>
      </w:r>
      <w:r>
        <w:rPr>
          <w:sz w:val="28"/>
          <w:szCs w:val="28"/>
        </w:rPr>
        <w:t>Департаментом</w:t>
      </w:r>
      <w:r w:rsidRPr="00356044">
        <w:rPr>
          <w:sz w:val="28"/>
          <w:szCs w:val="28"/>
        </w:rPr>
        <w:t>» досрочно в одностороннем порядке с уведомлением Владельца нестационарного торгового объекта в случаях: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lastRenderedPageBreak/>
        <w:t>6.1.1. Неоднократного (3 и более раз) нарушения «Владельцем нестационарного торгового объекта» обязательств, предусмотренных подпунктами 2.3.2.-2.3.5. пункта 2.3. Договора, подтвержденного актами о соблюдении условий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6.1.2. Отсутствия осуществления деятельности в месте размещения объекта в течение 3-х месяцев со дня заключения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6.1.3. Ликвидации юридического лица, прекращения деятельности физическим лицом в качестве индивидуального предпринимателя</w:t>
      </w:r>
      <w:r>
        <w:rPr>
          <w:sz w:val="20"/>
          <w:szCs w:val="20"/>
        </w:rPr>
        <w:t>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6.1.4. Просрочки исполнения обязательств, предусмотренных пунктом 3.2. Договора.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6.1.5. В случае отказа «Владельца нестационарного торгового объекта» переместить нестационарный торговый объект на компенсационное место размещения при необходимости освобождения места размещения объекта для нужд города: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- необходимость ремонта и (или) реконструкция автомобильных дорог в случае, если нахождение НТО препятствует осуществлению указанных работ;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-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- размещение объектов капитального </w:t>
      </w:r>
      <w:r>
        <w:rPr>
          <w:sz w:val="28"/>
          <w:szCs w:val="28"/>
        </w:rPr>
        <w:t>строительства</w:t>
      </w:r>
      <w:r w:rsidRPr="00356044">
        <w:rPr>
          <w:sz w:val="28"/>
          <w:szCs w:val="28"/>
        </w:rPr>
        <w:t>;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-заключение договоров о развитии застроенных территорий в случае, если нахождение НТО препятствует реализации указанного договора.</w:t>
      </w:r>
    </w:p>
    <w:p w:rsidR="00435CA0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6.1.6. Наличия двух и более нарушений законодательства в сфере продажи алкогольной, табачной продукции, а также санитарно-эпидемиологических требований к организациям торговли при осуществлении торговой деятельности на объекте «Владельца нестационарного торгового объекта», установленных в решениях компетентных органов о привлечении виновных лиц к административной ответственности, вступивших в законную силу.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6.1.7. Передачи владельцем объекта прав и обязанностей по Договору третьим лицам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6.2. Уведомления о расторжении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 xml:space="preserve">оговора, указанные в п.6.1.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оговора направляются «Владельцу нестационарного торгового объекта» по адресу, указанному в разделе 9 Договора заказным письмом с уведомлением о вручении. Договор считается расторгнутым  по истечении 5 дней со дня доставки уведомления о расторжении Договора  «Владельцу нестационарного торгового объекта».</w:t>
      </w:r>
    </w:p>
    <w:p w:rsidR="00435CA0" w:rsidRPr="00356044" w:rsidRDefault="00435CA0" w:rsidP="004F33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6.3. Договор может быть расторгнут по соглашению сторон, в том числе при отказе «Владельца нестационарного торгового объекта» от права на размещение нестационарного торгового объекта. Предложение о расторжении Договора по соглашению сторон направляется в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 xml:space="preserve">» по адресу, указанному в </w:t>
      </w:r>
      <w:hyperlink r:id="rId13" w:history="1">
        <w:r w:rsidRPr="00356044">
          <w:rPr>
            <w:sz w:val="28"/>
            <w:szCs w:val="28"/>
          </w:rPr>
          <w:t>разделе 9</w:t>
        </w:r>
      </w:hyperlink>
      <w:r w:rsidRPr="00356044">
        <w:rPr>
          <w:sz w:val="28"/>
          <w:szCs w:val="28"/>
        </w:rPr>
        <w:t xml:space="preserve"> Договора. На основании данного предложения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>» подготавливает соглашение о расторжении Договора. Договор считается расторгнутым со дня подписания соглашения Сторонами.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7. Особые условия</w:t>
      </w: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7.1. Заключив настоящий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 xml:space="preserve">оговор, «Владелец нестационарного торгового объекта» подтверждает, что требования к внешнему виду, конструктивным особенностям и параметрам нестационарного торгового объекта, требования к содержанию нестационарного торгового объекта, а также требования к благоустройству и содержанию территории, прилегающей к нестационарному торговому объекту, установленные Положением о порядке размещения нестационарных торговых объектов на территории городского </w:t>
      </w:r>
      <w:r>
        <w:rPr>
          <w:sz w:val="28"/>
          <w:szCs w:val="28"/>
        </w:rPr>
        <w:t>поселения Тутаев</w:t>
      </w:r>
      <w:r w:rsidRPr="00356044">
        <w:rPr>
          <w:sz w:val="28"/>
          <w:szCs w:val="28"/>
        </w:rPr>
        <w:t xml:space="preserve"> и Правилами благоустройства и обеспечения санитарного состояния территории город</w:t>
      </w:r>
      <w:r>
        <w:rPr>
          <w:sz w:val="28"/>
          <w:szCs w:val="28"/>
        </w:rPr>
        <w:t>а Тутаев</w:t>
      </w:r>
      <w:r w:rsidRPr="00356044">
        <w:rPr>
          <w:sz w:val="28"/>
          <w:szCs w:val="28"/>
        </w:rPr>
        <w:t>, ему известны и понятны.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7.2. В случае необходимости освобождения места размещения объекта для нужд города, указанных в пункте 6.1.5. Договора, при согласии «Владельца нестационарного торгового объекта» на перемещение нестационарного торгового объекта на компенсационное место размещения в Договор вносятся изменения, касающиеся местоположения нестационарного торгового объекта. Внесение изменений в Договор осуществляется путем заключения дополнительного соглашения, подписываемого Сторонами. Дополнительное соглашение о внесении изменений в Договор направляется «</w:t>
      </w:r>
      <w:r>
        <w:rPr>
          <w:sz w:val="28"/>
          <w:szCs w:val="28"/>
        </w:rPr>
        <w:t>Департаментом</w:t>
      </w:r>
      <w:r w:rsidRPr="0035604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56044">
        <w:rPr>
          <w:sz w:val="28"/>
          <w:szCs w:val="28"/>
        </w:rPr>
        <w:t xml:space="preserve"> «Владельцу нестационарного торгового объекта» в течение 3 рабочих дней со дня внесения в Схему изменения об исключении занимаемого места размещения объекта и подлежит рассмотрению «Владельцем нестационарного торгового объекта» в течение 5 рабочих дней со дня его получения. «Владелец нестационарного торгового объекта» своими силами и за свой счет перемещает нестационарный торговый объект с места размещения объекта на компенсационное место не позднее 7 дней со дня подписания дополнительного соглашения. 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7.3. Заключив Договор, «Владелец нестационарного торгового объекта» выра</w:t>
      </w:r>
      <w:r>
        <w:rPr>
          <w:sz w:val="28"/>
          <w:szCs w:val="28"/>
        </w:rPr>
        <w:t>зил согласие на осуществление «Департаментом</w:t>
      </w:r>
      <w:r w:rsidRPr="00356044">
        <w:rPr>
          <w:sz w:val="28"/>
          <w:szCs w:val="28"/>
        </w:rPr>
        <w:t>» действий по пресечению неправомерного использования места размещения объекта в порядке самозащиты права (</w:t>
      </w:r>
      <w:hyperlink r:id="rId14" w:history="1">
        <w:r w:rsidRPr="00356044">
          <w:rPr>
            <w:sz w:val="28"/>
            <w:szCs w:val="28"/>
          </w:rPr>
          <w:t>статьи 12</w:t>
        </w:r>
      </w:hyperlink>
      <w:r w:rsidRPr="00356044">
        <w:rPr>
          <w:sz w:val="28"/>
          <w:szCs w:val="28"/>
        </w:rPr>
        <w:t xml:space="preserve">, </w:t>
      </w:r>
      <w:hyperlink r:id="rId15" w:history="1">
        <w:r w:rsidRPr="00356044">
          <w:rPr>
            <w:sz w:val="28"/>
            <w:szCs w:val="28"/>
          </w:rPr>
          <w:t>14</w:t>
        </w:r>
      </w:hyperlink>
      <w:r w:rsidRPr="00356044">
        <w:rPr>
          <w:sz w:val="28"/>
          <w:szCs w:val="28"/>
        </w:rPr>
        <w:t xml:space="preserve"> Гражданского кодекса Российской Федерации) при неисполнении «Владельцем нестационарного торгового объекта» обязательств, предусмотренных </w:t>
      </w:r>
      <w:hyperlink r:id="rId16" w:history="1">
        <w:r w:rsidRPr="00356044">
          <w:rPr>
            <w:sz w:val="28"/>
            <w:szCs w:val="28"/>
          </w:rPr>
          <w:t>подпунктом 2.3.7 пункта 2.3</w:t>
        </w:r>
      </w:hyperlink>
      <w:r w:rsidRPr="00356044">
        <w:rPr>
          <w:sz w:val="28"/>
          <w:szCs w:val="28"/>
        </w:rPr>
        <w:t xml:space="preserve"> Договора. Самозащита осуществляется путем освобождения «</w:t>
      </w:r>
      <w:r>
        <w:rPr>
          <w:sz w:val="28"/>
          <w:szCs w:val="28"/>
        </w:rPr>
        <w:t>Департаментом</w:t>
      </w:r>
      <w:r w:rsidRPr="00356044">
        <w:rPr>
          <w:sz w:val="28"/>
          <w:szCs w:val="28"/>
        </w:rPr>
        <w:t>» собственными силами или привлеченными им лицами места размещения объекта от нестационарного торгового объекта и иного имущества «Владельца нестационарного торгового объекта» в следующем порядке: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1) в случае невыполнения «Владельцем нестационарного торгового объекта» обязанности по освобождению места размещения объекта по окончании срока действия Договора освобождение осуществляется без направления в адрес «Владельца нестационарного торгового объекта» предварительного уведомления об освобождении места размещения объекта либо требования об освобождении места размещения объекта;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2) в случае невыполнения «Владельцем нестационарного торгового объекта» обязанности по освобождению места размещения объекта при досрочном расторжении Договора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 xml:space="preserve">» направляет «Владельцу </w:t>
      </w:r>
      <w:r w:rsidRPr="00356044">
        <w:rPr>
          <w:sz w:val="28"/>
          <w:szCs w:val="28"/>
        </w:rPr>
        <w:lastRenderedPageBreak/>
        <w:t xml:space="preserve">нестационарного торгового объекта» по адресу, указанному в </w:t>
      </w:r>
      <w:hyperlink r:id="rId17" w:history="1">
        <w:r w:rsidRPr="00356044">
          <w:rPr>
            <w:sz w:val="28"/>
            <w:szCs w:val="28"/>
          </w:rPr>
          <w:t>разделе 9</w:t>
        </w:r>
      </w:hyperlink>
      <w:r w:rsidRPr="00356044">
        <w:rPr>
          <w:sz w:val="28"/>
          <w:szCs w:val="28"/>
        </w:rPr>
        <w:t xml:space="preserve"> Договора, заказным письмом с уведомлением о вручении требование об освобождении места размещения объекта с указанием тридцатидневного срока для его выполнения. В случае невыполнения данного требования в установленный срок «</w:t>
      </w:r>
      <w:r>
        <w:rPr>
          <w:sz w:val="28"/>
          <w:szCs w:val="28"/>
        </w:rPr>
        <w:t>Департамент</w:t>
      </w:r>
      <w:r w:rsidRPr="00356044">
        <w:rPr>
          <w:sz w:val="28"/>
          <w:szCs w:val="28"/>
        </w:rPr>
        <w:t>» принимает меры, направленные на освобождение места размещения объекта.</w:t>
      </w:r>
    </w:p>
    <w:p w:rsidR="00435CA0" w:rsidRPr="00356044" w:rsidRDefault="00435CA0" w:rsidP="00263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При этом «Владелец нестационарного торгового объекта» признает, что убытки, возникающие вследствие утраты либо повреждения принадлежащего ему имущества, возмещению не подлежат, а расходы, понесенные «</w:t>
      </w:r>
      <w:r>
        <w:rPr>
          <w:sz w:val="28"/>
          <w:szCs w:val="28"/>
        </w:rPr>
        <w:t>Департаментом</w:t>
      </w:r>
      <w:r w:rsidRPr="00356044">
        <w:rPr>
          <w:sz w:val="28"/>
          <w:szCs w:val="28"/>
        </w:rPr>
        <w:t>» в связи с освобождением места размещения объекта, взыскиваются с «Владельца нестационарного торгового объекта».</w:t>
      </w:r>
    </w:p>
    <w:p w:rsidR="00435CA0" w:rsidRPr="00356044" w:rsidRDefault="00435CA0" w:rsidP="00263EB0">
      <w:pPr>
        <w:autoSpaceDE w:val="0"/>
        <w:autoSpaceDN w:val="0"/>
        <w:jc w:val="both"/>
        <w:rPr>
          <w:color w:val="FF0000"/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8. Порядок разрешения споров</w:t>
      </w:r>
    </w:p>
    <w:p w:rsidR="00435CA0" w:rsidRPr="00356044" w:rsidRDefault="00435CA0" w:rsidP="00263EB0">
      <w:pPr>
        <w:autoSpaceDE w:val="0"/>
        <w:autoSpaceDN w:val="0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 xml:space="preserve">8.1. Все споры или разногласия, возникшие между Сторонами по настоящему </w:t>
      </w:r>
      <w:r>
        <w:rPr>
          <w:sz w:val="28"/>
          <w:szCs w:val="28"/>
        </w:rPr>
        <w:t>Д</w:t>
      </w:r>
      <w:r w:rsidRPr="00356044">
        <w:rPr>
          <w:sz w:val="28"/>
          <w:szCs w:val="28"/>
        </w:rPr>
        <w:t>оговору, разрешаются путем переговоров между сторонами в десятидневный срок с момента уведомления любой из Сторон провести такие переговоры.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В случае недостижения согласия между Сторонами, спор подлежит рассмотрению в  суде по месту нахождения «</w:t>
      </w:r>
      <w:r>
        <w:rPr>
          <w:sz w:val="28"/>
          <w:szCs w:val="28"/>
        </w:rPr>
        <w:t>Департамента</w:t>
      </w:r>
      <w:r w:rsidRPr="00356044">
        <w:rPr>
          <w:sz w:val="28"/>
          <w:szCs w:val="28"/>
        </w:rPr>
        <w:t>».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8.2. Вопросы, не урегулированные Договором, разрешаются в соответствии с действующим законодательством Российской Федерации.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  <w:r w:rsidRPr="00356044">
        <w:rPr>
          <w:sz w:val="28"/>
          <w:szCs w:val="28"/>
        </w:rPr>
        <w:t>8.3. Договор составлен в 2-х экземплярах - по одному для каждой Стороны.</w:t>
      </w:r>
    </w:p>
    <w:p w:rsidR="00435CA0" w:rsidRPr="00356044" w:rsidRDefault="00435CA0" w:rsidP="00263EB0">
      <w:pPr>
        <w:autoSpaceDE w:val="0"/>
        <w:autoSpaceDN w:val="0"/>
        <w:jc w:val="both"/>
        <w:rPr>
          <w:sz w:val="28"/>
          <w:szCs w:val="28"/>
        </w:rPr>
      </w:pPr>
    </w:p>
    <w:p w:rsidR="00435CA0" w:rsidRPr="00356044" w:rsidRDefault="00435CA0" w:rsidP="00263EB0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9. Реквизиты Сторон</w:t>
      </w:r>
    </w:p>
    <w:p w:rsidR="00435CA0" w:rsidRPr="00356044" w:rsidRDefault="00435CA0" w:rsidP="00263EB0">
      <w:pPr>
        <w:autoSpaceDE w:val="0"/>
        <w:autoSpaceDN w:val="0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9828"/>
      </w:tblGrid>
      <w:tr w:rsidR="00435CA0" w:rsidRPr="00716A6A" w:rsidTr="00195489">
        <w:tc>
          <w:tcPr>
            <w:tcW w:w="9828" w:type="dxa"/>
          </w:tcPr>
          <w:p w:rsidR="00435CA0" w:rsidRDefault="00435CA0" w:rsidP="001954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6044">
              <w:rPr>
                <w:sz w:val="28"/>
                <w:szCs w:val="28"/>
              </w:rPr>
              <w:t>9.1. «</w:t>
            </w:r>
            <w:r>
              <w:rPr>
                <w:sz w:val="28"/>
                <w:szCs w:val="28"/>
              </w:rPr>
              <w:t>Департамент</w:t>
            </w:r>
            <w:r w:rsidRPr="00356044">
              <w:rPr>
                <w:sz w:val="28"/>
                <w:szCs w:val="28"/>
              </w:rPr>
              <w:t>»:</w:t>
            </w:r>
          </w:p>
          <w:p w:rsidR="00435CA0" w:rsidRPr="00CC398C" w:rsidRDefault="00435CA0" w:rsidP="00CC398C">
            <w:pPr>
              <w:rPr>
                <w:b/>
                <w:bCs/>
              </w:rPr>
            </w:pPr>
            <w:r w:rsidRPr="00DA6B93">
              <w:rPr>
                <w:b/>
                <w:bCs/>
                <w:sz w:val="22"/>
                <w:szCs w:val="22"/>
              </w:rPr>
              <w:t>Департамент муниципального имущества Администрации ТМР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 xml:space="preserve">Юридический адрес: РФ, 152300, 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>Ярославская область, г. Тутаев,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>ул. Романовская, д. 35;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 xml:space="preserve">Почтовый адрес: РФ, 152300, 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>Ярославская область, г. Тутаев,</w:t>
            </w:r>
          </w:p>
          <w:p w:rsidR="00435CA0" w:rsidRPr="00DA6B93" w:rsidRDefault="00435CA0" w:rsidP="00CC398C">
            <w:r w:rsidRPr="00DA6B93">
              <w:rPr>
                <w:sz w:val="22"/>
                <w:szCs w:val="22"/>
              </w:rPr>
              <w:t>ул. Романовская, д. 16;</w:t>
            </w:r>
          </w:p>
          <w:p w:rsidR="00435CA0" w:rsidRPr="00DA6B93" w:rsidRDefault="00435CA0" w:rsidP="00CC398C">
            <w:r>
              <w:rPr>
                <w:sz w:val="22"/>
                <w:szCs w:val="22"/>
              </w:rPr>
              <w:t>Тел/</w:t>
            </w:r>
            <w:r w:rsidRPr="00DA6B93">
              <w:rPr>
                <w:sz w:val="22"/>
                <w:szCs w:val="22"/>
              </w:rPr>
              <w:t>факс (48533)2-00-55,</w:t>
            </w:r>
          </w:p>
          <w:p w:rsidR="00435CA0" w:rsidRPr="00DA6B93" w:rsidRDefault="00435CA0" w:rsidP="00CC398C">
            <w:r>
              <w:rPr>
                <w:sz w:val="22"/>
                <w:szCs w:val="22"/>
              </w:rPr>
              <w:t>ИНН 7611008006.</w:t>
            </w:r>
          </w:p>
          <w:p w:rsidR="00435CA0" w:rsidRPr="00356044" w:rsidRDefault="00435CA0" w:rsidP="00241A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35CA0" w:rsidRPr="00356044" w:rsidRDefault="00435CA0" w:rsidP="00263EB0">
      <w:pPr>
        <w:autoSpaceDE w:val="0"/>
        <w:autoSpaceDN w:val="0"/>
        <w:rPr>
          <w:sz w:val="28"/>
          <w:szCs w:val="28"/>
        </w:rPr>
      </w:pPr>
      <w:r w:rsidRPr="00356044">
        <w:rPr>
          <w:sz w:val="28"/>
          <w:szCs w:val="28"/>
        </w:rPr>
        <w:t>«Владелец нестационарного торгового объекта»:</w:t>
      </w:r>
    </w:p>
    <w:p w:rsidR="00435CA0" w:rsidRPr="00356044" w:rsidRDefault="00435CA0" w:rsidP="00263EB0">
      <w:pPr>
        <w:autoSpaceDE w:val="0"/>
        <w:autoSpaceDN w:val="0"/>
        <w:rPr>
          <w:sz w:val="28"/>
          <w:szCs w:val="28"/>
        </w:rPr>
      </w:pPr>
      <w:r w:rsidRPr="0035604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___________________________.</w:t>
      </w:r>
    </w:p>
    <w:p w:rsidR="00435CA0" w:rsidRPr="00356044" w:rsidRDefault="00435CA0" w:rsidP="00A05FCE">
      <w:pPr>
        <w:autoSpaceDE w:val="0"/>
        <w:autoSpaceDN w:val="0"/>
        <w:rPr>
          <w:sz w:val="28"/>
          <w:szCs w:val="28"/>
        </w:rPr>
      </w:pPr>
      <w:r w:rsidRPr="00356044">
        <w:rPr>
          <w:sz w:val="28"/>
          <w:szCs w:val="28"/>
        </w:rPr>
        <w:t>9.2. Сообщения, уведомления, требования, предусмотренные Договором и доставленные по адресу соответствующей Стороны, указанному в пункте 9.1. Договора, считаются полученными ею, даже если данная Сторона (ее орган или представитель) не находится по указанному адресу.</w:t>
      </w:r>
    </w:p>
    <w:p w:rsidR="00435CA0" w:rsidRDefault="00435CA0" w:rsidP="00A05FCE">
      <w:pPr>
        <w:autoSpaceDE w:val="0"/>
        <w:autoSpaceDN w:val="0"/>
        <w:jc w:val="center"/>
        <w:rPr>
          <w:sz w:val="28"/>
          <w:szCs w:val="28"/>
        </w:rPr>
      </w:pPr>
      <w:r w:rsidRPr="00356044">
        <w:rPr>
          <w:sz w:val="28"/>
          <w:szCs w:val="28"/>
        </w:rPr>
        <w:t>10.Подписи Сторон.</w:t>
      </w:r>
    </w:p>
    <w:tbl>
      <w:tblPr>
        <w:tblW w:w="0" w:type="auto"/>
        <w:tblLook w:val="00A0"/>
      </w:tblPr>
      <w:tblGrid>
        <w:gridCol w:w="4785"/>
        <w:gridCol w:w="4785"/>
      </w:tblGrid>
      <w:tr w:rsidR="00435CA0" w:rsidTr="00F41AD4">
        <w:tc>
          <w:tcPr>
            <w:tcW w:w="4785" w:type="dxa"/>
          </w:tcPr>
          <w:p w:rsidR="00435CA0" w:rsidRPr="00F41AD4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  <w:r w:rsidRPr="00F41AD4">
              <w:rPr>
                <w:sz w:val="28"/>
                <w:szCs w:val="28"/>
              </w:rPr>
              <w:t>«Департамент»</w:t>
            </w:r>
          </w:p>
          <w:p w:rsidR="00435CA0" w:rsidRPr="00FA60A9" w:rsidRDefault="00283CEB" w:rsidP="00DD0467">
            <w:r>
              <w:t>И.о.</w:t>
            </w:r>
            <w:r w:rsidR="00435CA0" w:rsidRPr="00FA60A9">
              <w:t>Заместител</w:t>
            </w:r>
            <w:r>
              <w:t>я</w:t>
            </w:r>
            <w:r w:rsidR="00435CA0" w:rsidRPr="00FA60A9">
              <w:t xml:space="preserve"> Главы Администрации </w:t>
            </w:r>
          </w:p>
          <w:p w:rsidR="00435CA0" w:rsidRPr="00FA60A9" w:rsidRDefault="00435CA0" w:rsidP="00DD0467">
            <w:r w:rsidRPr="00FA60A9">
              <w:t xml:space="preserve">ТМР по имущественным вопросам – </w:t>
            </w:r>
          </w:p>
          <w:p w:rsidR="00435CA0" w:rsidRPr="00FA60A9" w:rsidRDefault="00435CA0" w:rsidP="00DD0467">
            <w:r w:rsidRPr="00FA60A9">
              <w:t>директор</w:t>
            </w:r>
            <w:r w:rsidR="00283CEB">
              <w:t>а</w:t>
            </w:r>
            <w:r w:rsidRPr="00FA60A9">
              <w:t xml:space="preserve"> Департамента муниципального </w:t>
            </w:r>
          </w:p>
          <w:p w:rsidR="00435CA0" w:rsidRDefault="00435CA0" w:rsidP="00DD0467">
            <w:pPr>
              <w:widowControl w:val="0"/>
              <w:autoSpaceDE w:val="0"/>
              <w:autoSpaceDN w:val="0"/>
              <w:adjustRightInd w:val="0"/>
            </w:pPr>
            <w:r w:rsidRPr="00FA60A9">
              <w:t>имущества Администрации ТМР</w:t>
            </w:r>
          </w:p>
          <w:p w:rsidR="00435CA0" w:rsidRPr="00F41AD4" w:rsidRDefault="00283CEB" w:rsidP="00DD0467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b/>
              </w:rPr>
              <w:lastRenderedPageBreak/>
              <w:t>А.В.Израйлева</w:t>
            </w:r>
          </w:p>
          <w:p w:rsidR="00435CA0" w:rsidRPr="00F41AD4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  <w:r w:rsidRPr="00F41AD4">
              <w:rPr>
                <w:sz w:val="28"/>
                <w:szCs w:val="28"/>
              </w:rPr>
              <w:t>________________________________</w:t>
            </w:r>
          </w:p>
          <w:p w:rsidR="00283CEB" w:rsidRPr="00F41AD4" w:rsidRDefault="00435CA0" w:rsidP="00283CEB">
            <w:pPr>
              <w:autoSpaceDE w:val="0"/>
              <w:autoSpaceDN w:val="0"/>
              <w:rPr>
                <w:sz w:val="28"/>
                <w:szCs w:val="28"/>
              </w:rPr>
            </w:pPr>
            <w:r w:rsidRPr="00F41AD4">
              <w:rPr>
                <w:sz w:val="28"/>
                <w:szCs w:val="28"/>
              </w:rPr>
              <w:t>М.П.</w:t>
            </w:r>
            <w:r w:rsidRPr="00F41AD4">
              <w:rPr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435CA0" w:rsidRPr="00F41AD4" w:rsidRDefault="00435CA0" w:rsidP="00F41AD4">
            <w:pPr>
              <w:tabs>
                <w:tab w:val="center" w:pos="5102"/>
              </w:tabs>
              <w:autoSpaceDE w:val="0"/>
              <w:autoSpaceDN w:val="0"/>
              <w:rPr>
                <w:sz w:val="28"/>
                <w:szCs w:val="28"/>
              </w:rPr>
            </w:pPr>
            <w:r w:rsidRPr="00F41AD4">
              <w:rPr>
                <w:sz w:val="28"/>
                <w:szCs w:val="28"/>
              </w:rPr>
              <w:lastRenderedPageBreak/>
              <w:t>Владелец нестационарного торгового объекта»</w:t>
            </w:r>
          </w:p>
          <w:p w:rsidR="00435CA0" w:rsidRPr="00F41AD4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35CA0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35CA0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</w:p>
          <w:p w:rsidR="00435CA0" w:rsidRPr="00F41AD4" w:rsidRDefault="00435CA0" w:rsidP="00F41AD4">
            <w:pPr>
              <w:autoSpaceDE w:val="0"/>
              <w:autoSpaceDN w:val="0"/>
              <w:rPr>
                <w:sz w:val="28"/>
                <w:szCs w:val="28"/>
              </w:rPr>
            </w:pPr>
            <w:r w:rsidRPr="00F41AD4">
              <w:rPr>
                <w:sz w:val="28"/>
                <w:szCs w:val="28"/>
              </w:rPr>
              <w:t>________________________________</w:t>
            </w:r>
          </w:p>
        </w:tc>
      </w:tr>
    </w:tbl>
    <w:p w:rsidR="00435CA0" w:rsidRPr="00356044" w:rsidRDefault="00435CA0" w:rsidP="00283CEB">
      <w:pPr>
        <w:autoSpaceDE w:val="0"/>
        <w:autoSpaceDN w:val="0"/>
        <w:jc w:val="right"/>
      </w:pPr>
    </w:p>
    <w:sectPr w:rsidR="00435CA0" w:rsidRPr="00356044" w:rsidSect="00320459">
      <w:headerReference w:type="even" r:id="rId18"/>
      <w:headerReference w:type="default" r:id="rId19"/>
      <w:headerReference w:type="first" r:id="rId20"/>
      <w:pgSz w:w="11906" w:h="16838"/>
      <w:pgMar w:top="54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29B" w:rsidRDefault="005B329B">
      <w:r>
        <w:separator/>
      </w:r>
    </w:p>
  </w:endnote>
  <w:endnote w:type="continuationSeparator" w:id="1">
    <w:p w:rsidR="005B329B" w:rsidRDefault="005B3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29B" w:rsidRDefault="005B329B">
      <w:r>
        <w:separator/>
      </w:r>
    </w:p>
  </w:footnote>
  <w:footnote w:type="continuationSeparator" w:id="1">
    <w:p w:rsidR="005B329B" w:rsidRDefault="005B3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A0" w:rsidRDefault="005578E8" w:rsidP="0089642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35CA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5CA0" w:rsidRDefault="00435CA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A0" w:rsidRDefault="005578E8">
    <w:pPr>
      <w:pStyle w:val="a9"/>
      <w:jc w:val="center"/>
    </w:pPr>
    <w:fldSimple w:instr=" PAGE   \* MERGEFORMAT ">
      <w:r w:rsidR="00346CFA">
        <w:rPr>
          <w:noProof/>
        </w:rPr>
        <w:t>7</w:t>
      </w:r>
    </w:fldSimple>
  </w:p>
  <w:p w:rsidR="00435CA0" w:rsidRDefault="00435CA0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A0" w:rsidRDefault="00435CA0">
    <w:pPr>
      <w:pStyle w:val="a9"/>
      <w:jc w:val="center"/>
    </w:pPr>
  </w:p>
  <w:p w:rsidR="00435CA0" w:rsidRDefault="00435CA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7DF"/>
    <w:multiLevelType w:val="hybridMultilevel"/>
    <w:tmpl w:val="A01CF718"/>
    <w:lvl w:ilvl="0" w:tplc="436ACC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D7A40"/>
    <w:multiLevelType w:val="hybridMultilevel"/>
    <w:tmpl w:val="CE18F574"/>
    <w:lvl w:ilvl="0" w:tplc="47C6D9D2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3">
    <w:nsid w:val="27923F68"/>
    <w:multiLevelType w:val="hybridMultilevel"/>
    <w:tmpl w:val="C828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930D48"/>
    <w:multiLevelType w:val="multilevel"/>
    <w:tmpl w:val="280A83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15" w:hanging="855"/>
      </w:pPr>
      <w:rPr>
        <w:rFonts w:cs="Times New Roman" w:hint="default"/>
      </w:rPr>
    </w:lvl>
    <w:lvl w:ilvl="2">
      <w:start w:val="12"/>
      <w:numFmt w:val="decimal"/>
      <w:isLgl/>
      <w:lvlText w:val="%1.%2.%3."/>
      <w:lvlJc w:val="left"/>
      <w:pPr>
        <w:ind w:left="1215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300"/>
    <w:rsid w:val="00002617"/>
    <w:rsid w:val="00006C8F"/>
    <w:rsid w:val="00015F7D"/>
    <w:rsid w:val="00042042"/>
    <w:rsid w:val="00045A44"/>
    <w:rsid w:val="0006414F"/>
    <w:rsid w:val="00070CFB"/>
    <w:rsid w:val="00075BBF"/>
    <w:rsid w:val="00076AFC"/>
    <w:rsid w:val="00077DB4"/>
    <w:rsid w:val="00083DEE"/>
    <w:rsid w:val="0008428C"/>
    <w:rsid w:val="00085615"/>
    <w:rsid w:val="00095F3A"/>
    <w:rsid w:val="000A3620"/>
    <w:rsid w:val="000D3658"/>
    <w:rsid w:val="000D51C8"/>
    <w:rsid w:val="000F1694"/>
    <w:rsid w:val="000F507D"/>
    <w:rsid w:val="000F5D57"/>
    <w:rsid w:val="00103AD2"/>
    <w:rsid w:val="001227B0"/>
    <w:rsid w:val="00142FAA"/>
    <w:rsid w:val="0014354A"/>
    <w:rsid w:val="00172B87"/>
    <w:rsid w:val="001761C0"/>
    <w:rsid w:val="00176645"/>
    <w:rsid w:val="0019377D"/>
    <w:rsid w:val="00195489"/>
    <w:rsid w:val="001B12CE"/>
    <w:rsid w:val="001C3B0F"/>
    <w:rsid w:val="001D1309"/>
    <w:rsid w:val="001D4FE3"/>
    <w:rsid w:val="001D53BE"/>
    <w:rsid w:val="001E0761"/>
    <w:rsid w:val="001E1DD5"/>
    <w:rsid w:val="00203C11"/>
    <w:rsid w:val="002225F9"/>
    <w:rsid w:val="00222BAE"/>
    <w:rsid w:val="002269D4"/>
    <w:rsid w:val="00234C52"/>
    <w:rsid w:val="00237BA7"/>
    <w:rsid w:val="002405B1"/>
    <w:rsid w:val="00241AE3"/>
    <w:rsid w:val="00245A39"/>
    <w:rsid w:val="00254A48"/>
    <w:rsid w:val="00254F2C"/>
    <w:rsid w:val="00263EB0"/>
    <w:rsid w:val="00274238"/>
    <w:rsid w:val="00281446"/>
    <w:rsid w:val="00283CEB"/>
    <w:rsid w:val="00283E70"/>
    <w:rsid w:val="00294B42"/>
    <w:rsid w:val="00295866"/>
    <w:rsid w:val="002976B1"/>
    <w:rsid w:val="002A0569"/>
    <w:rsid w:val="002A4081"/>
    <w:rsid w:val="002B29DF"/>
    <w:rsid w:val="002B3C9D"/>
    <w:rsid w:val="002B4C3A"/>
    <w:rsid w:val="002B5DB9"/>
    <w:rsid w:val="002D500C"/>
    <w:rsid w:val="002D6484"/>
    <w:rsid w:val="002F05C9"/>
    <w:rsid w:val="002F07BA"/>
    <w:rsid w:val="002F2C5F"/>
    <w:rsid w:val="00306F7B"/>
    <w:rsid w:val="00307AC6"/>
    <w:rsid w:val="00315A62"/>
    <w:rsid w:val="00320459"/>
    <w:rsid w:val="00323C8B"/>
    <w:rsid w:val="00337D25"/>
    <w:rsid w:val="003412E2"/>
    <w:rsid w:val="003451D5"/>
    <w:rsid w:val="00346CFA"/>
    <w:rsid w:val="00351CC5"/>
    <w:rsid w:val="00356044"/>
    <w:rsid w:val="00356E31"/>
    <w:rsid w:val="0036388A"/>
    <w:rsid w:val="00372905"/>
    <w:rsid w:val="00380E69"/>
    <w:rsid w:val="00386921"/>
    <w:rsid w:val="0039397E"/>
    <w:rsid w:val="003A5544"/>
    <w:rsid w:val="003C0C88"/>
    <w:rsid w:val="003D46EE"/>
    <w:rsid w:val="003E3D69"/>
    <w:rsid w:val="00403223"/>
    <w:rsid w:val="004068D7"/>
    <w:rsid w:val="00407132"/>
    <w:rsid w:val="00420B24"/>
    <w:rsid w:val="00435CA0"/>
    <w:rsid w:val="00436743"/>
    <w:rsid w:val="004555CE"/>
    <w:rsid w:val="00464BFB"/>
    <w:rsid w:val="00466E14"/>
    <w:rsid w:val="004752F9"/>
    <w:rsid w:val="0047753C"/>
    <w:rsid w:val="004828EF"/>
    <w:rsid w:val="00483C87"/>
    <w:rsid w:val="004C0A3C"/>
    <w:rsid w:val="004E0F84"/>
    <w:rsid w:val="004E5EAA"/>
    <w:rsid w:val="004F1601"/>
    <w:rsid w:val="004F3316"/>
    <w:rsid w:val="004F7038"/>
    <w:rsid w:val="00505C9A"/>
    <w:rsid w:val="00517D5C"/>
    <w:rsid w:val="005223C0"/>
    <w:rsid w:val="00524F50"/>
    <w:rsid w:val="00530479"/>
    <w:rsid w:val="005354D8"/>
    <w:rsid w:val="00540A49"/>
    <w:rsid w:val="00543BEE"/>
    <w:rsid w:val="00544238"/>
    <w:rsid w:val="005578E8"/>
    <w:rsid w:val="00563C42"/>
    <w:rsid w:val="00566735"/>
    <w:rsid w:val="0058129C"/>
    <w:rsid w:val="005A485F"/>
    <w:rsid w:val="005B003A"/>
    <w:rsid w:val="005B329B"/>
    <w:rsid w:val="005B6CDA"/>
    <w:rsid w:val="005C7766"/>
    <w:rsid w:val="005E117B"/>
    <w:rsid w:val="005E5777"/>
    <w:rsid w:val="005F369D"/>
    <w:rsid w:val="00604EBC"/>
    <w:rsid w:val="00607907"/>
    <w:rsid w:val="006222CF"/>
    <w:rsid w:val="00625822"/>
    <w:rsid w:val="006506B3"/>
    <w:rsid w:val="0065360C"/>
    <w:rsid w:val="00656152"/>
    <w:rsid w:val="0066156E"/>
    <w:rsid w:val="006A4059"/>
    <w:rsid w:val="006B650C"/>
    <w:rsid w:val="006C0F1F"/>
    <w:rsid w:val="006C479F"/>
    <w:rsid w:val="006C6150"/>
    <w:rsid w:val="006D2DF7"/>
    <w:rsid w:val="006D66A6"/>
    <w:rsid w:val="006E0AE8"/>
    <w:rsid w:val="006E14AA"/>
    <w:rsid w:val="006E166F"/>
    <w:rsid w:val="006E7199"/>
    <w:rsid w:val="00702B38"/>
    <w:rsid w:val="007064D5"/>
    <w:rsid w:val="007136C5"/>
    <w:rsid w:val="0071561A"/>
    <w:rsid w:val="00716A6A"/>
    <w:rsid w:val="00732367"/>
    <w:rsid w:val="00734D83"/>
    <w:rsid w:val="00745C82"/>
    <w:rsid w:val="00764288"/>
    <w:rsid w:val="00765224"/>
    <w:rsid w:val="00765AF6"/>
    <w:rsid w:val="00774C36"/>
    <w:rsid w:val="00782F8D"/>
    <w:rsid w:val="0079383A"/>
    <w:rsid w:val="007A0B7F"/>
    <w:rsid w:val="007A0E4D"/>
    <w:rsid w:val="007A25DC"/>
    <w:rsid w:val="007B7933"/>
    <w:rsid w:val="007C3731"/>
    <w:rsid w:val="007D49A7"/>
    <w:rsid w:val="007E347A"/>
    <w:rsid w:val="007E3736"/>
    <w:rsid w:val="007E46FC"/>
    <w:rsid w:val="007E5943"/>
    <w:rsid w:val="007F37E5"/>
    <w:rsid w:val="00800107"/>
    <w:rsid w:val="008175FF"/>
    <w:rsid w:val="00823B1A"/>
    <w:rsid w:val="00832C2E"/>
    <w:rsid w:val="0083404A"/>
    <w:rsid w:val="00836E1D"/>
    <w:rsid w:val="00841FF4"/>
    <w:rsid w:val="00852940"/>
    <w:rsid w:val="008739D7"/>
    <w:rsid w:val="00877F41"/>
    <w:rsid w:val="00886962"/>
    <w:rsid w:val="00890133"/>
    <w:rsid w:val="0089642F"/>
    <w:rsid w:val="008B5EAB"/>
    <w:rsid w:val="008C3F21"/>
    <w:rsid w:val="008C616B"/>
    <w:rsid w:val="008D131F"/>
    <w:rsid w:val="008D4811"/>
    <w:rsid w:val="008D7AA6"/>
    <w:rsid w:val="008E50B7"/>
    <w:rsid w:val="008E7A43"/>
    <w:rsid w:val="008E7A44"/>
    <w:rsid w:val="008F2DD4"/>
    <w:rsid w:val="008F32B8"/>
    <w:rsid w:val="008F74C9"/>
    <w:rsid w:val="00901BAF"/>
    <w:rsid w:val="009230FC"/>
    <w:rsid w:val="00926AE0"/>
    <w:rsid w:val="00930286"/>
    <w:rsid w:val="00935C2B"/>
    <w:rsid w:val="0094106E"/>
    <w:rsid w:val="00946577"/>
    <w:rsid w:val="00950A8F"/>
    <w:rsid w:val="00953674"/>
    <w:rsid w:val="0096086E"/>
    <w:rsid w:val="00961090"/>
    <w:rsid w:val="0096432E"/>
    <w:rsid w:val="00995D89"/>
    <w:rsid w:val="009A3C02"/>
    <w:rsid w:val="009A7A90"/>
    <w:rsid w:val="009B4ECD"/>
    <w:rsid w:val="009B67F6"/>
    <w:rsid w:val="009C331A"/>
    <w:rsid w:val="009C3408"/>
    <w:rsid w:val="009C40EC"/>
    <w:rsid w:val="009E2317"/>
    <w:rsid w:val="009E64DA"/>
    <w:rsid w:val="009E69B1"/>
    <w:rsid w:val="009E78FB"/>
    <w:rsid w:val="009F30EB"/>
    <w:rsid w:val="009F4234"/>
    <w:rsid w:val="00A017B7"/>
    <w:rsid w:val="00A04170"/>
    <w:rsid w:val="00A05FCE"/>
    <w:rsid w:val="00A23073"/>
    <w:rsid w:val="00A25536"/>
    <w:rsid w:val="00A30921"/>
    <w:rsid w:val="00A318D7"/>
    <w:rsid w:val="00A347ED"/>
    <w:rsid w:val="00A65101"/>
    <w:rsid w:val="00A67A93"/>
    <w:rsid w:val="00A751F6"/>
    <w:rsid w:val="00A9522F"/>
    <w:rsid w:val="00AA51CF"/>
    <w:rsid w:val="00AA725D"/>
    <w:rsid w:val="00AB0E57"/>
    <w:rsid w:val="00AB5464"/>
    <w:rsid w:val="00AC6F7F"/>
    <w:rsid w:val="00AD3A8D"/>
    <w:rsid w:val="00AE5456"/>
    <w:rsid w:val="00B02690"/>
    <w:rsid w:val="00B07CC1"/>
    <w:rsid w:val="00B07FB2"/>
    <w:rsid w:val="00B16740"/>
    <w:rsid w:val="00B179C2"/>
    <w:rsid w:val="00B41097"/>
    <w:rsid w:val="00B41F68"/>
    <w:rsid w:val="00B76924"/>
    <w:rsid w:val="00B84AAC"/>
    <w:rsid w:val="00B85A69"/>
    <w:rsid w:val="00B923BD"/>
    <w:rsid w:val="00B942C2"/>
    <w:rsid w:val="00B94C8C"/>
    <w:rsid w:val="00B95C3D"/>
    <w:rsid w:val="00BA009D"/>
    <w:rsid w:val="00BA3F04"/>
    <w:rsid w:val="00BB4EFA"/>
    <w:rsid w:val="00BC2F9E"/>
    <w:rsid w:val="00BD6CAC"/>
    <w:rsid w:val="00BE6717"/>
    <w:rsid w:val="00BF23D8"/>
    <w:rsid w:val="00C0098D"/>
    <w:rsid w:val="00C06FDC"/>
    <w:rsid w:val="00C11E45"/>
    <w:rsid w:val="00C13AD9"/>
    <w:rsid w:val="00C13D0B"/>
    <w:rsid w:val="00C21C74"/>
    <w:rsid w:val="00C30E2A"/>
    <w:rsid w:val="00C4111B"/>
    <w:rsid w:val="00C430D5"/>
    <w:rsid w:val="00C44914"/>
    <w:rsid w:val="00C51E82"/>
    <w:rsid w:val="00C6382B"/>
    <w:rsid w:val="00C75C06"/>
    <w:rsid w:val="00C763F4"/>
    <w:rsid w:val="00C865F1"/>
    <w:rsid w:val="00C92D89"/>
    <w:rsid w:val="00C946EC"/>
    <w:rsid w:val="00C95FBA"/>
    <w:rsid w:val="00CA0F9C"/>
    <w:rsid w:val="00CA5300"/>
    <w:rsid w:val="00CC21D2"/>
    <w:rsid w:val="00CC398C"/>
    <w:rsid w:val="00CC660F"/>
    <w:rsid w:val="00CD7B8E"/>
    <w:rsid w:val="00CF2C14"/>
    <w:rsid w:val="00D00532"/>
    <w:rsid w:val="00D27B44"/>
    <w:rsid w:val="00D316C3"/>
    <w:rsid w:val="00D4617E"/>
    <w:rsid w:val="00D644EF"/>
    <w:rsid w:val="00D65EDC"/>
    <w:rsid w:val="00D71938"/>
    <w:rsid w:val="00D82C5D"/>
    <w:rsid w:val="00D9259C"/>
    <w:rsid w:val="00DA6B93"/>
    <w:rsid w:val="00DB3505"/>
    <w:rsid w:val="00DB6B49"/>
    <w:rsid w:val="00DC70DC"/>
    <w:rsid w:val="00DD0467"/>
    <w:rsid w:val="00DE187B"/>
    <w:rsid w:val="00E01008"/>
    <w:rsid w:val="00E01CB7"/>
    <w:rsid w:val="00E11918"/>
    <w:rsid w:val="00E44051"/>
    <w:rsid w:val="00E47AA8"/>
    <w:rsid w:val="00E534DF"/>
    <w:rsid w:val="00E71D58"/>
    <w:rsid w:val="00E849E4"/>
    <w:rsid w:val="00E94DF7"/>
    <w:rsid w:val="00ED6480"/>
    <w:rsid w:val="00EE3EE5"/>
    <w:rsid w:val="00EF647D"/>
    <w:rsid w:val="00F01759"/>
    <w:rsid w:val="00F11D61"/>
    <w:rsid w:val="00F12EAE"/>
    <w:rsid w:val="00F12F46"/>
    <w:rsid w:val="00F132D3"/>
    <w:rsid w:val="00F24325"/>
    <w:rsid w:val="00F3543F"/>
    <w:rsid w:val="00F4062B"/>
    <w:rsid w:val="00F41AD4"/>
    <w:rsid w:val="00F457B1"/>
    <w:rsid w:val="00F64F04"/>
    <w:rsid w:val="00F93D5A"/>
    <w:rsid w:val="00F96D23"/>
    <w:rsid w:val="00FA03C0"/>
    <w:rsid w:val="00FA51BB"/>
    <w:rsid w:val="00FA5B5E"/>
    <w:rsid w:val="00FA60A9"/>
    <w:rsid w:val="00FA7757"/>
    <w:rsid w:val="00FB3C27"/>
    <w:rsid w:val="00FC5927"/>
    <w:rsid w:val="00FE685F"/>
    <w:rsid w:val="00FF2947"/>
    <w:rsid w:val="00FF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F07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F07BA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2F07B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F07BA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F07BA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3D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83DE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83DE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800107"/>
    <w:rPr>
      <w:rFonts w:cs="Times New Roman"/>
      <w:bCs/>
      <w:sz w:val="24"/>
      <w:szCs w:val="24"/>
      <w:lang w:val="ru-RU" w:eastAsia="ru-RU" w:bidi="ar-SA"/>
    </w:rPr>
  </w:style>
  <w:style w:type="paragraph" w:customStyle="1" w:styleId="c1">
    <w:name w:val="c1"/>
    <w:basedOn w:val="a"/>
    <w:uiPriority w:val="99"/>
    <w:rsid w:val="002F07BA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2F07BA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2F07BA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2F07B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2F07BA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uiPriority w:val="99"/>
    <w:rsid w:val="002F07B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083DEE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2F07BA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083DEE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2F07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5C8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2F07BA"/>
    <w:rPr>
      <w:rFonts w:cs="Times New Roman"/>
    </w:rPr>
  </w:style>
  <w:style w:type="character" w:styleId="ac">
    <w:name w:val="FollowedHyperlink"/>
    <w:basedOn w:val="a0"/>
    <w:uiPriority w:val="99"/>
    <w:rsid w:val="002F07BA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2F07BA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83DEE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2F07BA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83DEE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07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083DEE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F07BA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083DEE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2F07BA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83DEE"/>
    <w:rPr>
      <w:rFonts w:cs="Times New Roman"/>
      <w:sz w:val="24"/>
      <w:szCs w:val="24"/>
    </w:rPr>
  </w:style>
  <w:style w:type="paragraph" w:styleId="af1">
    <w:name w:val="caption"/>
    <w:basedOn w:val="a"/>
    <w:next w:val="a"/>
    <w:uiPriority w:val="99"/>
    <w:qFormat/>
    <w:rsid w:val="002F07BA"/>
    <w:rPr>
      <w:sz w:val="28"/>
    </w:rPr>
  </w:style>
  <w:style w:type="paragraph" w:customStyle="1" w:styleId="ConsPlusNonformat">
    <w:name w:val="ConsPlusNonformat"/>
    <w:uiPriority w:val="99"/>
    <w:rsid w:val="00006C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0F169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0F1694"/>
    <w:rPr>
      <w:rFonts w:cs="Times New Roman"/>
      <w:sz w:val="16"/>
      <w:szCs w:val="16"/>
    </w:rPr>
  </w:style>
  <w:style w:type="paragraph" w:styleId="af2">
    <w:name w:val="Balloon Text"/>
    <w:basedOn w:val="a"/>
    <w:link w:val="af3"/>
    <w:uiPriority w:val="99"/>
    <w:rsid w:val="00745C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745C82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99"/>
    <w:rsid w:val="004C0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8F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EFB073993D6B726FA3E8FB2419584D256472A7C4411DABC06447ABF6D44416C01C02ADC78D0B13427B99U1c1H" TargetMode="External"/><Relationship Id="rId13" Type="http://schemas.openxmlformats.org/officeDocument/2006/relationships/hyperlink" Target="consultantplus://offline/ref=3F7F40B2039C7F1629AC968C7D52CC1D202271E37FDAEB29F0D54CFC48DF4A354C9A9017B93F268C2A1B8Ak45B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0CA9C73C40F1A409EE66EB1263DC1001F2B57B67F874E2B90F8B1492A16B70CA649D373F9FDE763AAEEAw4K6J" TargetMode="External"/><Relationship Id="rId17" Type="http://schemas.openxmlformats.org/officeDocument/2006/relationships/hyperlink" Target="consultantplus://offline/ref=55BC567B3E029964FF605B8CD7128C213DE7795A5019FAA1A3933560F96A6DE062CEF6F35470CB43A9C53ATA0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BC567B3E029964FF605B8CD7128C213DE7795A5019FAA1A3933560F96A6DE062CEF6F35470CB43A9C53ETA08L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1B58DE0D57F356071DA51D42BC049B593FC659A28515BB84B4BF15EF2962D9B8A5EAE16E619B1F419F81ZEP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BC567B3E029964FF604581C17ED2243AE524565D1BF2F3F7CC6E3DAE6367B72581AFB1107DCA4BTA01L" TargetMode="External"/><Relationship Id="rId10" Type="http://schemas.openxmlformats.org/officeDocument/2006/relationships/hyperlink" Target="consultantplus://offline/ref=E01411BDBCA35E54717CF6E2B846E93B036E7AC3C8859A9FB2C4B8C585A8A4E7C398DD9E2B57F927E45397sC1C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7F2D951FC9D2A5B707F1FD5317CEFB3B63D95C29B6AA575E4CD87E057CB7CEC714EC506E59C39A0E600N0f9H" TargetMode="External"/><Relationship Id="rId14" Type="http://schemas.openxmlformats.org/officeDocument/2006/relationships/hyperlink" Target="consultantplus://offline/ref=55BC567B3E029964FF604581C17ED2243AE524565D1BF2F3F7CC6E3DAE6367B72581AFB1107DCA44TA08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9041-7007-4110-A0BF-FABC9847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2788</Words>
  <Characters>15895</Characters>
  <Application>Microsoft Office Word</Application>
  <DocSecurity>0</DocSecurity>
  <Lines>132</Lines>
  <Paragraphs>37</Paragraphs>
  <ScaleCrop>false</ScaleCrop>
  <Company>Организация</Company>
  <LinksUpToDate>false</LinksUpToDate>
  <CharactersWithSpaces>18646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subject/>
  <dc:creator>xxx</dc:creator>
  <cp:keywords/>
  <dc:description/>
  <cp:lastModifiedBy>user</cp:lastModifiedBy>
  <cp:revision>28</cp:revision>
  <cp:lastPrinted>2018-01-22T07:18:00Z</cp:lastPrinted>
  <dcterms:created xsi:type="dcterms:W3CDTF">2015-02-09T11:44:00Z</dcterms:created>
  <dcterms:modified xsi:type="dcterms:W3CDTF">2021-04-22T13:20:00Z</dcterms:modified>
</cp:coreProperties>
</file>