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vanish/>
          <w:color w:val="000000"/>
          <w:sz w:val="26"/>
          <w:szCs w:val="26"/>
        </w:rPr>
        <w:t>#G0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9360"/>
      </w:tblGrid>
      <w:tr w:rsidR="00E7320A" w:rsidRPr="00CD6E5E">
        <w:trPr>
          <w:hidden/>
        </w:trPr>
        <w:tc>
          <w:tcPr>
            <w:tcW w:w="93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320A" w:rsidRPr="00CD6E5E" w:rsidRDefault="00E7320A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vanish/>
                <w:color w:val="000000"/>
                <w:sz w:val="26"/>
                <w:szCs w:val="26"/>
              </w:rPr>
              <w:t>#G0</w:t>
            </w:r>
            <w:r w:rsidR="00B3277C" w:rsidRPr="00CD6E5E"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548357AB" wp14:editId="4DC72D16">
                  <wp:extent cx="595630" cy="7759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775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20A" w:rsidRPr="00CD6E5E" w:rsidRDefault="00E7320A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Администрация Тутаевского муниципального района </w:t>
            </w:r>
          </w:p>
          <w:p w:rsidR="00E7320A" w:rsidRPr="00CD6E5E" w:rsidRDefault="00E7320A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E7320A" w:rsidRPr="00CD6E5E" w:rsidRDefault="00E7320A">
            <w:pPr>
              <w:pStyle w:val="Heading"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ПОСТАНОВЛЕНИЕ </w:t>
            </w:r>
          </w:p>
          <w:p w:rsidR="00E7320A" w:rsidRPr="00CD6E5E" w:rsidRDefault="00E7320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E7320A" w:rsidRPr="00CD6E5E" w:rsidRDefault="00E7320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От</w:t>
            </w: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CD6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12.07.2019</w:t>
            </w: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CD6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№</w:t>
            </w: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</w:t>
            </w:r>
            <w:r w:rsidRPr="00CD6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u w:val="single"/>
              </w:rPr>
              <w:t>504-п</w:t>
            </w: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  <w:p w:rsidR="00E7320A" w:rsidRPr="00CD6E5E" w:rsidRDefault="00E7320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</w:p>
          <w:p w:rsidR="00E7320A" w:rsidRPr="00CD6E5E" w:rsidRDefault="00E7320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г. Тутаев</w:t>
            </w: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Об утверждении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типовых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архитектурных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решений нестационарных торговых объектов 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(киоск, торговый павильон, остановочно-торговый модуль)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для размещения на территории городского поселения Тутаев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В соответствии с Федеральным законом от 16.10.2003 №131-ФЗ «Об общих принципах организации местного самоуправления в Российской Федерации», Администрация Тутаевского муниципального района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ПОСТАНОВЛЯЕТ: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1.      Утвердить типовые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архитектурные решения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 (приложение).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2. Признать утратившим силу постановление Администрации Тутаевского муниципального района от 20.06.2018 № 414-п «Об утверждении типовых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архитектурных решений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Тутаев».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исполнением настоящего постановления возложить на начальника управления архитектуры и градостроительства Администрации Тутаевского муниципального района Е.Н. Касьянову.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4. Настоящее Постановление опубликовать в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Тутаевской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массовой муниципальной газете «Берега» и на официальном сайте Администрации Тутаевского муниципального района в сети «Интернет».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5. Настоящее Постановление вступает в силу после его официального опубликования.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 w:rsidP="00CD6E5E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Глава Тутаевского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муниципального района                                  </w:t>
      </w:r>
      <w:r w:rsidR="00ED3558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</w:t>
      </w:r>
      <w:bookmarkStart w:id="0" w:name="_GoBack"/>
      <w:bookmarkEnd w:id="0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Д.Р. Юнусов </w:t>
      </w:r>
    </w:p>
    <w:p w:rsidR="00E7320A" w:rsidRPr="00CD6E5E" w:rsidRDefault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lastRenderedPageBreak/>
        <w:t>П</w:t>
      </w:r>
      <w:r w:rsidR="00E7320A" w:rsidRPr="00CD6E5E">
        <w:rPr>
          <w:rFonts w:ascii="Times New Roman" w:hAnsi="Times New Roman" w:cs="Times New Roman"/>
          <w:color w:val="000000"/>
          <w:sz w:val="26"/>
          <w:szCs w:val="26"/>
        </w:rPr>
        <w:t>риложение к постановлению Администрации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Тутаевского муниципального района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от </w:t>
      </w:r>
      <w:r w:rsidRPr="00CD6E5E">
        <w:rPr>
          <w:rFonts w:ascii="Times New Roman" w:hAnsi="Times New Roman" w:cs="Times New Roman"/>
          <w:color w:val="000000"/>
          <w:sz w:val="26"/>
          <w:szCs w:val="26"/>
          <w:u w:val="single"/>
        </w:rPr>
        <w:t>12.07.2019</w:t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№  </w:t>
      </w:r>
      <w:r w:rsidRPr="00CD6E5E">
        <w:rPr>
          <w:rFonts w:ascii="Times New Roman" w:hAnsi="Times New Roman" w:cs="Times New Roman"/>
          <w:color w:val="000000"/>
          <w:sz w:val="26"/>
          <w:szCs w:val="26"/>
          <w:u w:val="single"/>
        </w:rPr>
        <w:t>504-п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Типовые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архитектурные решения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1.      О</w:t>
      </w: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бщие требования, предъявляемые к нестационарным торговым объектам (далее - НТО) и условиям их размещения.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1.1 Размещение НТО должно соответствовать градостроительным условиям использования территории, требованиям технических регламентов, в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т.ч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>. санитарно-эпидемиологическим, экологическим требованиям, требованиям государственной охраны объектов культурного наследия, требованиям пожарной безопасности и другим требованиям федерального и регионального законодательства.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НТО располагаются в соответствии со схемой размещения нестационарных торговых объектов на территории городского поселения Тутаев.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Порядок согласования типовых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архитектурных решений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 предусмотрен согласно Приложению 1 к настоящим типовым архитектурным решениям нестационарных торговых объектов (киоск, торговый павильон, остановочно-торговый модуль) для размещения на территории городского поселения Тутаев.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Размеры, внешний вид и оформление НТО необходимо выполнять в соответствии с предложенными вариантами согласно Приложению 2 к настоящим типовым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архитектурным решениям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Тутаев. 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Требования к внешнему виду и оформлению НТО установлены с целью сохранения единого архитектурного облика городского поселения Тутаев.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1.2 Площадка для размещения НТО должна иметь твердое покрытие. Цвет покрытия и размеры площадки устанавливаются схемой благоустройства.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1.3 Цветовое решение информационных конструкций должно гармонировать с цветовым решением фасадов. 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использовать плоские буквы из металла или пластика без подложки, либо буквы с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контражурной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подсветкой (лицевая и боковые стороны выполнены из металла, подсветка расположена внутри, за счет чего каждая буква обрамляется световым ореолом). 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1.4 Режимная табличка должна располагаться лицевой стороной в одной плоскости с главным фасадом. Возможна установка непосредственно перед окошком выдачи товара, если это возможно. Основной объем режимной таблички не должен включать в себя никаких дополнительных декоративных элементов. Размер режимной таблички должен быть не более 400 x 600 мм.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1.5 Территорию вблизи объектов НТО рекомендуется выполнять из тротуарной </w:t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плитки. Озеленение как элемент благоустройства и ландшафтной организации территории должно носить мобильный характер (посадка растений в специальные переносимые емкости на летний период). Наличие освещения и пандуса для маломобильных групп населения. В границах благоустроенной территории устанавливается урна емкостью не менее 10 л. 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2.      </w:t>
      </w: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Рекомендации по применению материалов и конструкций для остановочно-торговых модулей.</w:t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2.1 Типы остановочных комплексов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2.1.1 Остановочный навес.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Материалы и конструкции: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· Фундамент - железобетонные фундаментные столбики из бетона В15; F150; W8.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Наружная стена -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сэндвич-панели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поэлементной сборки: крепежные профили под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алюмокомпозитные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панели,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алюмокомпозитные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фасадные панели (цвет в соответствии с цветовым решением фасадов).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Пол - тротуарная плитка - 50 мм, монтажный слой песка и цемента 1:10 - 50 мм,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геотекстиль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>, уплотненный известковый щебень фр. 20-40 - 150 мм, утрамбованный песок средней крупности Куп. = 0.95 - 150 мм, утрамбованный грунт основания.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Кровля - кровля односкатная. Покрытие кровли -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Профлист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Н-75 по металлическому каркасу. Снизу подшивной потолок.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Глухие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светопрозрачные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заполнени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я-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заполнение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тонированым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антивандальным стеклом 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2.1.2 Остановочно-торговый модуль.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Материалы и конструкции: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Фундамент - железобетонная фундаментная плита, толщ.150мм 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Цоколь - кирпичная кладка из полнотелого керамического кирпича по ГОСТ 530-2007 на цементно-песчаном растворе М75, шириной 250 мм, высотой 290 мм. По верху горизонтальная гидроизоляция из 2 слоев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гидростекла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на битумной мастике.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Наружные стены -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сэндвич-панели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поэлементной сборки: сэндвич профиль по металлическим стойкам каркаса,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пароизоляция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, теплоизоляция - 150мм,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гидроветрозащитная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мембрана,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алюмокомпозитные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фасадные панели (цвет в соответствии с цветовым решением фасадов).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Перегородки - влагостойкий гипсокартонный лист по металлическому каркасу с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шумоизоляцией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между стоек, толщиной 100 мм.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Пол - в торговом павильоне: утрамбованный грунт основания, утрамбованный  песок средней крупности Куп. = 0.95 - 200 мм, стяжка из тощего бетона - 40мм, гидроизоляционный слой, армированная монолитная железобетонная плита - 150 мм, теплоизоляция (экструзия) - 100мм, армированная стяжка из цементно-песчаного раствора - 40 мм, плитка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керамогранитная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на плиточном клее -20мм; под навесом: утрамбованный грунт основания, утрамбованный песок средней крупности Куп. = 0.95 - 200 мм, стяжка из тощего бетона - 40мм, гидроизоляционный слой, армированная монолитная железобетонная плита - 150 мм, тротуарная плитка на цементно-песчаном растворе - 50мм.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Кровля - кровля односкатная. Покрытие кровли -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фальцевые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кровельные панели.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Профлист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Н-75 по металлическому каркасу,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пароизоляция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, экструзия - 150мм, </w:t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гидроизоляционная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антиконденсационная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мембрана,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фальцевые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кровельные панели. Снизу подшивной потолок.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Оконные блоки (витражи): двухкамерный стеклопакет с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тонированым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стеклом (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тонирование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"бронза") в алюминиевых переплетах с покрытием цвета RAL 8014. Предусмотреть закрывание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рольставнями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в нерабочее время.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· Двери наружные: металлическая утепленная, глухая с уплотнителем, с порогом и замком.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Двери внутренние: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мелко-дисперсная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фракция.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2.1.3 Остановочно-торговый модуль с утепленным залом ожидания.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Материалы и конструкции: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Фундамент - железобетонная фундаментная плита, толщ.150мм 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Цоколь - кирпичная кладка из полнотелого керамического кирпича по ГОСТ 530-2007 на цементно-песчаном растворе М75, шириной 250 мм, высотой 290 мм. По верху горизонтальная гидроизоляция из 2 слоев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гидростекла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на битумной мастике.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Наружные стены -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сэндвич-панели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поэлементной сборки: сэндвич профиль по металлическим стойкам каркаса,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пароизоляция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, теплоизоляция - 150мм,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гидроветрозащитная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мембрана,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алюмокомпозитные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фасадные панели (цвет в соответствии с цветовым решением фасадов).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Перегородки - влагостойкий гипсокартонный лист по металлическому каркасу с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шумоизоляцией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между стоек, толщиной 100 мм.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Пол - в торговом павильоне: утрамбованный грунт основания, утрамбованный песок средней крупности Куп. = 0.95 - 200 мм, стяжка из тощего бетона - 40мм, гидроизоляционный слой, армированная монолитная железобетонная плита - 150 мм, теплоизоляция (экструзия) - 100мм, армированная стяжка из цементно-песчаного раствора - 40 мм, плитка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керамогранитная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на плиточном клее -20мм.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Кровля - кровля односкатная. Покрытие кровли -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фальцевые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кровельные панели.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Профлист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Н-75 по металлическому каркасу,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пароизоляция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, экструзия - 150мм, гидроизоляционная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антиконденсационная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мембрана,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фальцевые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кровельные панели. Снизу подшивной потолок.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Оконные блоки (витражи): Двухкамерный стеклопакет с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тонированым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стеклом (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тонирование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"бронза") в алюминиевых переплетах с покрытием цвета RAL 8014. Предусмотреть закрывание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рольставнями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в не рабочее время.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· Двери наружные: металлическая утепленная, глухая с уплотнителем, с порогом и замком.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· Двери внутренние: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мелко-дисперсная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фракция.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45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В зале ожидания рекомендуется предусмотреть установку отопительных приборов, телевизора, устройства для зарядки мобильных телефонов, WI-FI.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Приложение 1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к</w:t>
      </w:r>
      <w:proofErr w:type="gramEnd"/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Типовым архитектурным решениям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нестационарных</w:t>
      </w:r>
      <w:proofErr w:type="gramEnd"/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торговых объектов (киоск, торговый павильон,</w:t>
      </w:r>
      <w:proofErr w:type="gramEnd"/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остановочно-торговый модуль) для размещения</w:t>
      </w:r>
      <w:proofErr w:type="gramEnd"/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на территории 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городского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поселения Тутаев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Порядок согласования типовых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архитектурных решений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 </w:t>
      </w:r>
    </w:p>
    <w:p w:rsidR="00E7320A" w:rsidRPr="00CD6E5E" w:rsidRDefault="00E7320A">
      <w:pPr>
        <w:pStyle w:val="Heading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pStyle w:val="Heading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1. Общие положения </w:t>
      </w:r>
    </w:p>
    <w:p w:rsidR="00E7320A" w:rsidRPr="00CD6E5E" w:rsidRDefault="00E7320A">
      <w:pPr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1.1. Настоящий Порядок согласования типовых </w:t>
      </w:r>
      <w:proofErr w:type="gramStart"/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архитектурных решений</w:t>
      </w:r>
      <w:proofErr w:type="gramEnd"/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 определяет процедуру согласования архитектурно-художественного проекта нестационарного торгового объекта, в том числе объекта по оказанию услуг на территории городского поселения Тутаев (далее - проект НТО). 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1.2. Органом, уполномоченным на согласование проекта НТО, является управление архитектуры и градостроительства Администрации Тутаевского муниципального района (далее -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УАиГ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АТМР).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pStyle w:val="Heading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2. Порядок согласования проекта НТО </w:t>
      </w:r>
    </w:p>
    <w:p w:rsidR="00E7320A" w:rsidRPr="00CD6E5E" w:rsidRDefault="00E7320A">
      <w:pPr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2.1. Для согласования проекта НТО заявитель либо уполномоченное им в установленном законом порядке лицо обращается в </w:t>
      </w:r>
      <w:proofErr w:type="spellStart"/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УАиГ</w:t>
      </w:r>
      <w:proofErr w:type="spellEnd"/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АТМР с заявлением по форме согласно Приложению к настоящему Порядку. Заявление регистрируется в день его поступления в течение 30 минут. 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2.2. К заявлению прилагаются следующие документы: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- документ, удостоверяющий полномочия представителя физического или юридического лица, если с заявлением обращается представитель заявителя; - договор на размещение нестационарного торгового объекта, в том числе объекта по оказанию услуг (за исключением случаев, когда нестационарный торговый объект планируется разместить на земельных участках, находящихся в частной собственности);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- проект НТО в двух экземплярах.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2.3. Проект НТО должен содержать: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- архитектурно-художественное оформление нестационарного торгового объекта, включающее в себя: графическое отображение внешних размеров (длина, ширина, высота, общая площадь) нестационарного торгового объекта и его элементов, также цветовое решение нестационарного торгового объекта, решения по декоративной подсветке и схему благоустройства территории;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lastRenderedPageBreak/>
        <w:t>- текстовые материалы, оформленные в виде пояснительной записки и включающие, в том числе, описание конструктивного и объемно-планировочного решения нестационарного торгового объекта, отделочных материалов; - фотомонтаж - изображение нестационарного торгового объекта в месте предполагаемого его размещения на фотографии существующей ситуации с соблюдением пропорций размещаемого нестационарного торгового объекта.</w:t>
      </w:r>
      <w:proofErr w:type="gramEnd"/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2.4. Проект НТО должен определять внешний вид, цветовое решение и материалы отделки фасадов, а также учитывать специализацию нестационарного торгового объекта, конкретную градостроительную ситуацию, архитектурный облик и стилистику сложившейся застройки и сложившуюся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колористику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архитектурного окружения, комплексное решение интеграции нестационарного торгового объекта в сложившуюся архитектурную среду.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В случае размещения двух и более нестационарных торговых объектов на одном земельном участке вне зависимости от формы собственности данного земельного участка проект НТО должен выполняться в едином архитектурно-художественном стиле с применением единых конструктивных материалов, соблюдением единой линии размещения нестационарных торговых объектов.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2.5. В случае размещения двух и более нестационарных торговых объектов на одном земельном участке, находящемся в частной собственности, выполняется общий проект НТО на всю группу нестационарных торговых объектов.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2.6. В согласовании проекта НТО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УАиГ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АТМР отказывает при наличии одного из следующих оснований: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- представление заявителем неполного комплекта документов, предусмотренных пунктом 2.2 настоящего Порядка;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- заявление подано не уполномоченным на то лицом;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- представление документов, содержащих противоречивые и (или) недостоверные сведения;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- несоответствие представленного заявителем проекта НТО требованиям, утвержденным постановлением Администрации ТМР «Об утверждении типовых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архитектурных решений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нестационарных торговых объектов (киоск, торговый павильон, остановочно-торговый модуль) для размещения на территории городского поселения Тутаев»;</w:t>
      </w:r>
    </w:p>
    <w:p w:rsidR="00E7320A" w:rsidRPr="00CD6E5E" w:rsidRDefault="00E7320A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- несоответствие представленного заявителем проекта НТО требованиям, установленным пунктами 2.3, 2.4, 2.5 настоящего Порядка;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- отсутствие места размещения нестационарного торгового объекта в схеме размещения нестационарных торговых объектов, в том числе объектов по оказанию услуг, на территории городского поселения Тутаев, утвержденной постановлением Администрации ТМР (за исключением случаев, когда нестационарный торговый объект планируется разместить на земельных участках, находящихся в частной собственности);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lastRenderedPageBreak/>
        <w:t>- несоответствие проекта НТО договору на размещение нестационарного торгового объекта, в том числе объекта по оказанию услуг (за исключением случаев, когда нестационарный торговый объект планируется разместить на земельных участках, находящихся в частной собственности).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2.7. Заявление и приложенные к нему документы, указанные в пункте 2.2 настоящего Порядка, в течение одного дня со дня регистрации в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УАиГ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АТМР направляются на рассмотрение начальника управления архитектуры и градостроительства Администрации Тутаевского муниципального района - главного архитектора Тутаевского муниципального района (далее - главный архитектор ТМР)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2.8. Главный архитектор ТМР в течение пятнадцати рабочих дней со дня поступления документов, указанных в пунктах 2.1, 2.2 настоящего Порядка, рассматривает их, и осуществляет подготовку заключения о возможности (невозможности) согласования проекта НТО в виде письменного ответа. 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В письменном ответе согласовывается проект НТО с проставлением подписи главного архитектора ТМР, заверенной печатью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УАиГ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АТМР, датой согласования, номером проекта НТО либо подготавливается мотивированный отказ в согласовании проекта НТО.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В случае если заявителем выбран способ доставки "направить по почте",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УАиГ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АТМР в течение срока, указанного в абзаце первом настоящего пункта, направляет заявителю почтой один экземпляр согласованного проекта НТО либо мотивированный отказ в согласовании проекта НТО.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В случае если заявителем выбран способ доставки "выдать лично на руки",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УАиГ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АТМР в течение срока, указанного в абзаце первом настоящего пункта, извещает заявителя при помощи мобильных сре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дств св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>язи о готовности к выдаче согласованного проекта НТО либо мотивированного отказа в согласовании проекта НТО.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В случае получения заявителем лично на руки одного экземпляра согласованного проекта НТО либо мотивированного отказа в согласовании проекта НТО заявитель расписывается на втором экземпляре согласованного проекта НТО или мотивированного отказа в согласовании проекта НТО в их получении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Согласованный второй экземпляр проекта НТО подлежит хранению в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УАиГ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АТМР.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lastRenderedPageBreak/>
        <w:t>Приложение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Заявление о согласовании архитектурно-художественного проекта 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нестационарного торгового объекта для размещения 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на территории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городского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поселения Тутаев 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  <w:u w:val="single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Начальнику </w:t>
      </w:r>
      <w:proofErr w:type="spellStart"/>
      <w:r w:rsidRPr="00CD6E5E">
        <w:rPr>
          <w:rFonts w:ascii="Times New Roman" w:hAnsi="Times New Roman" w:cs="Times New Roman"/>
          <w:color w:val="000000"/>
          <w:sz w:val="26"/>
          <w:szCs w:val="26"/>
          <w:u w:val="single"/>
        </w:rPr>
        <w:t>УАиГ</w:t>
      </w:r>
      <w:proofErr w:type="spellEnd"/>
      <w:r w:rsidRPr="00CD6E5E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АТМР -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  <w:u w:val="single"/>
        </w:rPr>
        <w:t>- главному архитектору ТМР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от_____________________________________________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Ф.И.О. заявителя, паспортные данные, адрес, телефон (для физических лиц</w:t>
      </w:r>
      <w:proofErr w:type="gramEnd"/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и индивидуальных предпринимателей) или наименование организации, ИНН,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юридический адрес, телефон (для юридических лиц)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                                           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Заявление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о согласовании архитектурно-художественного проекта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нестационарного торгового объекта 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Прошу  согласовать  архитектурно-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художественный проект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нестационарного торгового объекта по адресу: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________________________________________________________________________________________________________________________________________ 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Сведения о нестационарном торговом объекте: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- площадь_________________________________________________________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- специализация объекта ____________________________________________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- тип объекта ______________________________________________________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- период функционирования объекта __________________________________ 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В  целях  рассмотрения  настоящего  заявления  выражаю свое согласие на обработку  моих персональных данных в объеме, необходимом для согласования архитектурно-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художественного проекта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нестационарного торгового объекта.</w:t>
      </w:r>
    </w:p>
    <w:p w:rsidR="00E7320A" w:rsidRPr="00CD6E5E" w:rsidRDefault="00E7320A">
      <w:pPr>
        <w:ind w:firstLine="22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К заявлению прилагаются: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____________________________________________________________________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Прошу   принятое   решение   (согласование  или  отказ  в  согласовании архитектурно-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художественного проекта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нестационарного торгового объекта):</w:t>
      </w:r>
    </w:p>
    <w:p w:rsidR="00E7320A" w:rsidRPr="00CD6E5E" w:rsidRDefault="00E7320A">
      <w:pPr>
        <w:ind w:firstLine="45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- выдать лично на руки;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- направить по почте.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«____»______ 20____г.           __________________          ________________________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                                                 (подпись заявителя)                              (расшифровка подписи)</w:t>
      </w:r>
    </w:p>
    <w:p w:rsidR="00185377" w:rsidRPr="00CD6E5E" w:rsidRDefault="00E7320A" w:rsidP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  <w:sectPr w:rsidR="00185377" w:rsidRPr="00CD6E5E">
          <w:pgSz w:w="12240" w:h="15840"/>
          <w:pgMar w:top="1134" w:right="850" w:bottom="1134" w:left="1701" w:header="720" w:footer="720" w:gutter="0"/>
          <w:cols w:space="720"/>
          <w:noEndnote/>
        </w:sect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</w:p>
    <w:p w:rsidR="00E7320A" w:rsidRPr="00CD6E5E" w:rsidRDefault="00E7320A" w:rsidP="00CD6E5E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Приложение 2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к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Типовым архитектурным решениям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нестационарных</w:t>
      </w:r>
      <w:proofErr w:type="gramEnd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>торговых объектов (киоск, торговый павильон,</w:t>
      </w:r>
      <w:proofErr w:type="gramEnd"/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остановочно-торговый модуль) для размещения </w:t>
      </w:r>
      <w:proofErr w:type="gramEnd"/>
    </w:p>
    <w:p w:rsidR="00185377" w:rsidRPr="00CD6E5E" w:rsidRDefault="00E7320A" w:rsidP="00185377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на территории  городског</w:t>
      </w:r>
      <w:r w:rsidR="00185377" w:rsidRPr="00CD6E5E">
        <w:rPr>
          <w:rFonts w:ascii="Times New Roman" w:hAnsi="Times New Roman" w:cs="Times New Roman"/>
          <w:color w:val="000000"/>
          <w:sz w:val="26"/>
          <w:szCs w:val="26"/>
        </w:rPr>
        <w:t>о поселения</w:t>
      </w:r>
      <w:proofErr w:type="gramStart"/>
      <w:r w:rsidR="00185377"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Т</w:t>
      </w:r>
      <w:proofErr w:type="gramEnd"/>
      <w:r w:rsidR="00185377" w:rsidRPr="00CD6E5E">
        <w:rPr>
          <w:rFonts w:ascii="Times New Roman" w:hAnsi="Times New Roman" w:cs="Times New Roman"/>
          <w:color w:val="000000"/>
          <w:sz w:val="26"/>
          <w:szCs w:val="26"/>
        </w:rPr>
        <w:t>ут</w:t>
      </w:r>
    </w:p>
    <w:p w:rsidR="00E7320A" w:rsidRPr="00CD6E5E" w:rsidRDefault="00E7320A" w:rsidP="00185377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Варианты внешнего вида киосков и торговых павильонов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(правый берег)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 w:rsidP="00185377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Киоск 3 х 4 м</w:t>
      </w: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6D198965" wp14:editId="07B8D0D2">
            <wp:extent cx="3263900" cy="164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582FB5C5" wp14:editId="395D2A39">
            <wp:extent cx="3381375" cy="170116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Павильон 5 х 6 м</w:t>
      </w: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46299683" wp14:editId="447FF635">
            <wp:extent cx="4603750" cy="259461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7C152831" wp14:editId="52B3D0F1">
            <wp:extent cx="4816475" cy="26473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Вариант киоска 3 х 4 м</w:t>
      </w:r>
    </w:p>
    <w:p w:rsidR="00E7320A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P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  <w:r w:rsidR="00B3277C"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5763922E" wp14:editId="21EBC661">
            <wp:extent cx="3455670" cy="3061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</w:t>
      </w:r>
      <w:r w:rsidR="00B3277C"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6D263EA4" wp14:editId="6F3E1DC0">
            <wp:extent cx="3200400" cy="31261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  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P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Крепление профилей к корпусу НТО</w:t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3D083879" wp14:editId="7F6B5F2E">
            <wp:extent cx="3498215" cy="303022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                </w:t>
      </w: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552F771F" wp14:editId="18F9D394">
            <wp:extent cx="1839595" cy="290258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Вариант павильона 5 х 6 м</w:t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43369D26" wp14:editId="2137801E">
            <wp:extent cx="3572510" cy="2552065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</w:t>
      </w: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693AB30C" wp14:editId="0BF3BD63">
            <wp:extent cx="3179445" cy="2583815"/>
            <wp:effectExtent l="0" t="0" r="190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P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                                                                                                               </w:t>
      </w: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Крепление профилей к корпусу НТО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20B53344" wp14:editId="627C894C">
            <wp:extent cx="3763645" cy="3551555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                  </w:t>
      </w: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5EAC2164" wp14:editId="0C89F20B">
            <wp:extent cx="2041525" cy="32429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P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Паспорт цветового решения фасадов НТО (правый берег)</w:t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CD6E5E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D1A9461" wp14:editId="7FBB4C8A">
            <wp:extent cx="5443855" cy="56991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569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Рекомендации к выбору цветосочетаний</w:t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Для НТО рекомендуется сочетание светлого корпуса с темным карнизом и темными переплетами, а с темным корпусом светлый карниз и белый переплет.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*Представленный цвет может незначительно отличаться при печати или на мониторе.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Default="00CD6E5E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CD6E5E" w:rsidRPr="00CD6E5E" w:rsidRDefault="00CD6E5E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352D8" w:rsidRPr="00CD6E5E" w:rsidRDefault="00E352D8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>Варианты внешнего вида киосков и торговых павильонов (левый берег)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Киоск 3 х 4 м 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B3277C" w:rsidRPr="00CD6E5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11A06FB" wp14:editId="7E8A9DD3">
            <wp:extent cx="3498215" cy="22542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</w:t>
      </w:r>
      <w:r w:rsidR="00B3277C" w:rsidRPr="00CD6E5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6D5B545" wp14:editId="6F97D73A">
            <wp:extent cx="3402330" cy="2190115"/>
            <wp:effectExtent l="0" t="0" r="762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Павильон 5 х 6 м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F28D0FF" wp14:editId="4BE6831A">
            <wp:extent cx="6400800" cy="217995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5406CB0" wp14:editId="73967985">
            <wp:extent cx="6602730" cy="2243455"/>
            <wp:effectExtent l="0" t="0" r="762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Паспорт цветового решения фасадов НТО (левый берег)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C0DE7F" wp14:editId="78249FA6">
            <wp:extent cx="5273675" cy="54546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45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Рекомендации к выбору цветосочетаний</w:t>
      </w:r>
      <w:r w:rsidRPr="00CD6E5E">
        <w:rPr>
          <w:rFonts w:ascii="Times New Roman" w:hAnsi="Times New Roman" w:cs="Times New Roman"/>
          <w:color w:val="000000"/>
          <w:sz w:val="26"/>
          <w:szCs w:val="26"/>
        </w:rPr>
        <w:t>: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Для НТО рекомендуется сочетание светлого корпуса с темным карнизом и темными переплетами, а с темным корпусом светлый карниз и белый переплет.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*Представленный цвет может незначительно отличаться при печати или на мониторе. 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Варианты внешнего вида остановочных комплексов (правый берег)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Остановочный навес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15630" w:type="dxa"/>
        <w:tblInd w:w="81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6808"/>
        <w:gridCol w:w="8822"/>
      </w:tblGrid>
      <w:tr w:rsidR="00E7320A" w:rsidRPr="00CD6E5E" w:rsidTr="00CD6E5E">
        <w:trPr>
          <w:hidden/>
        </w:trPr>
        <w:tc>
          <w:tcPr>
            <w:tcW w:w="680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320A" w:rsidRPr="00CD6E5E" w:rsidRDefault="00E7320A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vanish/>
                <w:color w:val="000000"/>
                <w:sz w:val="26"/>
                <w:szCs w:val="26"/>
              </w:rPr>
              <w:t>#G0</w:t>
            </w:r>
            <w:r w:rsidR="00B3277C" w:rsidRPr="00CD6E5E"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529A2F81" wp14:editId="001D4DD8">
                  <wp:extent cx="4146595" cy="2483861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739" cy="248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8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320A" w:rsidRPr="00CD6E5E" w:rsidRDefault="00B3277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7F40131C" wp14:editId="582A097D">
                  <wp:extent cx="4047037" cy="2424224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7177" cy="242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0A"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391D2D75" wp14:editId="2F65BABF">
            <wp:extent cx="9058910" cy="640080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1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6CB9F1AC" wp14:editId="34794DD8">
            <wp:extent cx="9282430" cy="649668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430" cy="649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2CAC22C6" wp14:editId="62BECE75">
            <wp:extent cx="9675495" cy="6634480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495" cy="6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b/>
          <w:bCs/>
          <w:color w:val="000000"/>
          <w:sz w:val="26"/>
          <w:szCs w:val="26"/>
        </w:rPr>
        <w:lastRenderedPageBreak/>
        <w:t xml:space="preserve">      </w:t>
      </w:r>
      <w:r w:rsidR="00E7320A" w:rsidRPr="00CD6E5E">
        <w:rPr>
          <w:rFonts w:ascii="Times New Roman" w:hAnsi="Times New Roman" w:cs="Times New Roman"/>
          <w:color w:val="000000"/>
          <w:sz w:val="26"/>
          <w:szCs w:val="26"/>
        </w:rPr>
        <w:t>Остановочно-торговый модуль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15630" w:type="dxa"/>
        <w:tblInd w:w="67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368"/>
        <w:gridCol w:w="8262"/>
      </w:tblGrid>
      <w:tr w:rsidR="00E7320A" w:rsidRPr="00CD6E5E" w:rsidTr="00CD6E5E">
        <w:trPr>
          <w:hidden/>
        </w:trPr>
        <w:tc>
          <w:tcPr>
            <w:tcW w:w="73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320A" w:rsidRPr="00CD6E5E" w:rsidRDefault="00E7320A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vanish/>
                <w:color w:val="000000"/>
                <w:sz w:val="26"/>
                <w:szCs w:val="26"/>
              </w:rPr>
              <w:t>#G0</w:t>
            </w: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</w:t>
            </w:r>
            <w:r w:rsidR="00B3277C" w:rsidRPr="00CD6E5E"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44E28C65" wp14:editId="4230CAD2">
                  <wp:extent cx="4114800" cy="247713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82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320A" w:rsidRPr="00CD6E5E" w:rsidRDefault="00B3277C">
            <w:pPr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CD6E5E"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</w:rPr>
              <w:drawing>
                <wp:inline distT="0" distB="0" distL="0" distR="0" wp14:anchorId="64E1A2BE" wp14:editId="3F2D45AA">
                  <wp:extent cx="4114800" cy="24771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320A" w:rsidRPr="00CD6E5E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3D056AFF" wp14:editId="13E68ECF">
            <wp:extent cx="6719570" cy="2328545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0F014A55" wp14:editId="3F8D5C05">
            <wp:extent cx="6794500" cy="364680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D100E0D" wp14:editId="5BF7C138">
            <wp:extent cx="9260840" cy="4986655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840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  </w:t>
      </w: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4ABC5989" wp14:editId="36C3AE98">
            <wp:extent cx="8856980" cy="6177280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980" cy="61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0C0DBE2F" wp14:editId="0645D710">
            <wp:extent cx="8303895" cy="6443345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3895" cy="64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405826F4" wp14:editId="10DB2394">
            <wp:extent cx="9080500" cy="5199380"/>
            <wp:effectExtent l="0" t="0" r="635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0" cy="519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color w:val="000000"/>
          <w:sz w:val="26"/>
          <w:szCs w:val="26"/>
        </w:rPr>
        <w:t>Остановочно-торговый модуль с утепленным залом ожидания</w:t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41F09C70" wp14:editId="46AE4CF4">
            <wp:extent cx="7772400" cy="275399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27CB056F" wp14:editId="329C302B">
            <wp:extent cx="8059420" cy="268986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4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2CF0A7FB" wp14:editId="2769112A">
            <wp:extent cx="8963025" cy="3881120"/>
            <wp:effectExtent l="0" t="0" r="9525" b="50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E7320A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04C44EF4" wp14:editId="7A15A02F">
            <wp:extent cx="8995410" cy="4551045"/>
            <wp:effectExtent l="0" t="0" r="0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5410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E7320A" w:rsidRPr="00CD6E5E" w:rsidRDefault="00B3277C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lastRenderedPageBreak/>
        <w:drawing>
          <wp:inline distT="0" distB="0" distL="0" distR="0" wp14:anchorId="2AAF1819" wp14:editId="1A3C35A6">
            <wp:extent cx="8261350" cy="6241415"/>
            <wp:effectExtent l="0" t="0" r="6350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0" cy="624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0A" w:rsidRPr="00CD6E5E" w:rsidRDefault="00E7320A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</w:p>
    <w:p w:rsidR="00E7320A" w:rsidRPr="00CD6E5E" w:rsidRDefault="00B3277C">
      <w:pPr>
        <w:jc w:val="center"/>
        <w:rPr>
          <w:rFonts w:ascii="Times New Roman" w:hAnsi="Times New Roman" w:cs="Times New Roman"/>
          <w:sz w:val="26"/>
          <w:szCs w:val="26"/>
        </w:rPr>
      </w:pPr>
      <w:r w:rsidRPr="00CD6E5E"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w:drawing>
          <wp:inline distT="0" distB="0" distL="0" distR="0" wp14:anchorId="12E2EE7C" wp14:editId="26E3C1F9">
            <wp:extent cx="9005570" cy="5188585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557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20A" w:rsidRPr="00CD6E5E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sectPr w:rsidR="00E7320A" w:rsidRPr="00CD6E5E" w:rsidSect="00185377">
      <w:pgSz w:w="15840" w:h="12240" w:orient="landscape"/>
      <w:pgMar w:top="1701" w:right="1134" w:bottom="850" w:left="1134" w:header="720" w:footer="720" w:gutter="0"/>
      <w:cols w:space="720"/>
      <w:noEndnote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B63582"/>
    <w:multiLevelType w:val="hybridMultilevel"/>
    <w:tmpl w:val="D3F624CE"/>
    <w:lvl w:ilvl="0" w:tplc="0419000F">
      <w:start w:val="1"/>
      <w:numFmt w:val="decimal"/>
      <w:lvlText w:val="%1."/>
      <w:lvlJc w:val="left"/>
      <w:pPr>
        <w:ind w:left="112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82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2D8"/>
    <w:rsid w:val="00185377"/>
    <w:rsid w:val="006B2BD9"/>
    <w:rsid w:val="00B3277C"/>
    <w:rsid w:val="00CD6E5E"/>
    <w:rsid w:val="00DA669A"/>
    <w:rsid w:val="00E352D8"/>
    <w:rsid w:val="00E7320A"/>
    <w:rsid w:val="00ED3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rPr>
      <w:i/>
      <w:iCs/>
      <w:sz w:val="20"/>
      <w:szCs w:val="20"/>
    </w:rPr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Hyperlink"/>
    <w:uiPriority w:val="99"/>
    <w:rPr>
      <w:rFonts w:ascii="Arial" w:hAnsi="Arial" w:cs="Arial"/>
      <w:i/>
      <w:iCs/>
      <w:sz w:val="18"/>
      <w:szCs w:val="18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CD6E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E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uiPriority w:val="99"/>
    <w:rPr>
      <w:i/>
      <w:iCs/>
      <w:sz w:val="20"/>
      <w:szCs w:val="20"/>
    </w:rPr>
  </w:style>
  <w:style w:type="paragraph" w:customStyle="1" w:styleId="Heading">
    <w:name w:val="Heading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4">
    <w:name w:val="Hyperlink"/>
    <w:uiPriority w:val="99"/>
    <w:rPr>
      <w:rFonts w:ascii="Arial" w:hAnsi="Arial" w:cs="Arial"/>
      <w:i/>
      <w:iCs/>
      <w:sz w:val="18"/>
      <w:szCs w:val="18"/>
    </w:rPr>
  </w:style>
  <w:style w:type="paragraph" w:customStyle="1" w:styleId="Context">
    <w:name w:val="Con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CD6E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6E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2979</Words>
  <Characters>16983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perminova</dc:creator>
  <cp:lastModifiedBy>perminova</cp:lastModifiedBy>
  <cp:revision>4</cp:revision>
  <dcterms:created xsi:type="dcterms:W3CDTF">2021-10-19T10:11:00Z</dcterms:created>
  <dcterms:modified xsi:type="dcterms:W3CDTF">2021-10-19T10:16:00Z</dcterms:modified>
</cp:coreProperties>
</file>