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7" w:rsidRPr="00564B57" w:rsidRDefault="00564B57" w:rsidP="0056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564B57" w:rsidRPr="00564B57" w:rsidRDefault="00564B57" w:rsidP="00564B57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F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Артемьевского сельского поселения </w:t>
      </w:r>
    </w:p>
    <w:p w:rsidR="00564B57" w:rsidRPr="00564B57" w:rsidRDefault="00564B57" w:rsidP="00564B57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созыва Тутаевского муниципального района </w:t>
      </w:r>
    </w:p>
    <w:p w:rsidR="00564B57" w:rsidRPr="00564B57" w:rsidRDefault="00564B57" w:rsidP="00564B57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564B57" w:rsidRPr="00564B57" w:rsidRDefault="005F4B19" w:rsidP="00564B57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4B57" w:rsidRPr="00564B57" w:rsidRDefault="00564B57" w:rsidP="00564B57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B57" w:rsidRDefault="005F4B19" w:rsidP="00564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21.03.2024</w:t>
      </w:r>
      <w:r w:rsidR="00564B57"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564B57" w:rsidRDefault="00564B57" w:rsidP="0056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19" w:rsidRPr="00564B57" w:rsidRDefault="005F4B19" w:rsidP="0056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о передаче </w:t>
      </w:r>
    </w:p>
    <w:p w:rsidR="00564B57" w:rsidRPr="00564B57" w:rsidRDefault="00564B57" w:rsidP="0056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Тутаевскому</w:t>
      </w:r>
      <w:proofErr w:type="spellEnd"/>
      <w:r w:rsidRPr="0056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части полномочий по решению вопросов местного значения Артемьевского сельского поселения Тутаевского муниципального района</w:t>
      </w:r>
    </w:p>
    <w:p w:rsidR="00564B57" w:rsidRPr="00564B57" w:rsidRDefault="00564B57" w:rsidP="00564B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пунктом 4 статьи 15 Федерального Закона «Об общих принципах организации местного самоуправления в Российской Федерации» от 06.10.2003 № 131-ФЗ, Уставом Артемьевского сельского поселения Тутаевского муниципального района Ярославской области Муниципальный Совет Артемьевского сельского поселения</w:t>
      </w:r>
    </w:p>
    <w:p w:rsidR="00564B57" w:rsidRPr="00564B57" w:rsidRDefault="00564B57" w:rsidP="00564B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:rsidR="00564B57" w:rsidRPr="00564B57" w:rsidRDefault="00564B57" w:rsidP="00564B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564B57">
        <w:rPr>
          <w:rFonts w:ascii="Times New Roman" w:eastAsia="Times New Roman" w:hAnsi="Times New Roman" w:cs="Courier New"/>
          <w:sz w:val="28"/>
          <w:szCs w:val="28"/>
        </w:rPr>
        <w:t>РЕШИЛ:</w:t>
      </w:r>
    </w:p>
    <w:p w:rsidR="00564B57" w:rsidRPr="00564B57" w:rsidRDefault="00564B57" w:rsidP="00564B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:rsidR="00564B57" w:rsidRPr="00564B57" w:rsidRDefault="00564B57" w:rsidP="0056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64B57">
        <w:rPr>
          <w:rFonts w:ascii="Times New Roman" w:eastAsia="Times New Roman" w:hAnsi="Times New Roman" w:cs="Courier New"/>
          <w:sz w:val="28"/>
          <w:szCs w:val="28"/>
        </w:rPr>
        <w:t xml:space="preserve">          1. Утвердить Соглашение о передаче </w:t>
      </w:r>
      <w:proofErr w:type="spellStart"/>
      <w:r w:rsidRPr="00564B57">
        <w:rPr>
          <w:rFonts w:ascii="Times New Roman" w:eastAsia="Times New Roman" w:hAnsi="Times New Roman" w:cs="Courier New"/>
          <w:sz w:val="28"/>
          <w:szCs w:val="28"/>
        </w:rPr>
        <w:t>Тутаевскому</w:t>
      </w:r>
      <w:proofErr w:type="spellEnd"/>
      <w:r w:rsidRPr="00564B57">
        <w:rPr>
          <w:rFonts w:ascii="Times New Roman" w:eastAsia="Times New Roman" w:hAnsi="Times New Roman" w:cs="Courier New"/>
          <w:sz w:val="28"/>
          <w:szCs w:val="28"/>
        </w:rPr>
        <w:t xml:space="preserve"> муниципальному району части полномочий по решению вопросов местного значения Артемьевского сельского поселения Тутаевского муниципального района согласно Приложению № 1 к настоящему решению.</w:t>
      </w:r>
    </w:p>
    <w:p w:rsidR="00564B57" w:rsidRPr="00564B57" w:rsidRDefault="00564B57" w:rsidP="0056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 в </w:t>
      </w:r>
      <w:proofErr w:type="spellStart"/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564B57" w:rsidRPr="00564B57" w:rsidRDefault="00564B57" w:rsidP="00564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          </w:t>
      </w:r>
    </w:p>
    <w:p w:rsidR="00564B57" w:rsidRPr="00564B57" w:rsidRDefault="00564B57" w:rsidP="0056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7" w:rsidRPr="00564B57" w:rsidRDefault="00564B57" w:rsidP="0056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Артемьевского сельского поселения                         Т.В. Гриневич</w:t>
      </w:r>
    </w:p>
    <w:p w:rsidR="00564B57" w:rsidRDefault="00564B57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B57" w:rsidRDefault="00564B57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B57" w:rsidRDefault="00564B57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89D" w:rsidRDefault="0055689D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89D" w:rsidRDefault="0055689D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89D" w:rsidRDefault="0055689D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B57" w:rsidRDefault="00564B57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B57" w:rsidRPr="0055689D" w:rsidRDefault="00E62CC5" w:rsidP="00D92B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5689D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564B57" w:rsidRPr="0055689D">
        <w:rPr>
          <w:rFonts w:ascii="Times New Roman" w:hAnsi="Times New Roman" w:cs="Times New Roman"/>
          <w:sz w:val="20"/>
          <w:szCs w:val="20"/>
        </w:rPr>
        <w:t>иложение № 1</w:t>
      </w:r>
    </w:p>
    <w:p w:rsidR="00D92B81" w:rsidRPr="0055689D" w:rsidRDefault="005F4B19" w:rsidP="00D92B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5689D">
        <w:rPr>
          <w:rFonts w:ascii="Times New Roman" w:hAnsi="Times New Roman" w:cs="Times New Roman"/>
          <w:sz w:val="20"/>
          <w:szCs w:val="20"/>
        </w:rPr>
        <w:t xml:space="preserve">к </w:t>
      </w:r>
      <w:r w:rsidR="00D92B81" w:rsidRPr="0055689D">
        <w:rPr>
          <w:rFonts w:ascii="Times New Roman" w:hAnsi="Times New Roman" w:cs="Times New Roman"/>
          <w:sz w:val="20"/>
          <w:szCs w:val="20"/>
        </w:rPr>
        <w:t>Решени</w:t>
      </w:r>
      <w:r w:rsidRPr="0055689D">
        <w:rPr>
          <w:rFonts w:ascii="Times New Roman" w:hAnsi="Times New Roman" w:cs="Times New Roman"/>
          <w:sz w:val="20"/>
          <w:szCs w:val="20"/>
        </w:rPr>
        <w:t>ю</w:t>
      </w:r>
      <w:r w:rsidR="00D92B81" w:rsidRPr="0055689D">
        <w:rPr>
          <w:rFonts w:ascii="Times New Roman" w:hAnsi="Times New Roman" w:cs="Times New Roman"/>
          <w:sz w:val="20"/>
          <w:szCs w:val="20"/>
        </w:rPr>
        <w:t xml:space="preserve"> МС АСП</w:t>
      </w:r>
      <w:r w:rsidRPr="0055689D">
        <w:rPr>
          <w:rFonts w:ascii="Times New Roman" w:hAnsi="Times New Roman" w:cs="Times New Roman"/>
          <w:sz w:val="20"/>
          <w:szCs w:val="20"/>
        </w:rPr>
        <w:t xml:space="preserve"> от 21.03.2024г. №16</w:t>
      </w:r>
    </w:p>
    <w:p w:rsidR="00D92B81" w:rsidRPr="0055689D" w:rsidRDefault="00D92B81" w:rsidP="00D92B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92B81" w:rsidRPr="0055689D" w:rsidRDefault="00D92B81" w:rsidP="00D92B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СОГЛАШЕНИЕ № 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45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передаче Администрации Тутаевского муниципального района осуществления части полномочий </w:t>
      </w:r>
      <w:proofErr w:type="spellStart"/>
      <w:r w:rsidR="005A5581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Артемьевского</w:t>
      </w: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</w:t>
      </w:r>
      <w:r w:rsidR="00737B7B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го</w:t>
      </w:r>
      <w:proofErr w:type="spellEnd"/>
      <w:r w:rsidR="00737B7B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поселения по решению вопроса</w:t>
      </w: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местного </w:t>
      </w:r>
      <w:r w:rsidR="00440BC3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значения, предусмотренные п</w:t>
      </w:r>
      <w:r w:rsidR="00737B7B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унктом</w:t>
      </w: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19 части 1 статьи 14 Федерального законаот 06.10.2003</w:t>
      </w:r>
      <w:r w:rsidR="00F07B07"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N 131-ФЗ «Об общих принципах организации местного самоуправления в РоссийскойФедерации»на2024 год</w:t>
      </w:r>
    </w:p>
    <w:p w:rsidR="009360B8" w:rsidRPr="0055689D" w:rsidRDefault="009360B8" w:rsidP="009360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0B8" w:rsidRPr="0055689D" w:rsidRDefault="009360B8" w:rsidP="0093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Тутаев                                                                       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«</w:t>
      </w:r>
      <w:r w:rsidR="00E62CC5" w:rsidRPr="005568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21 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62CC5" w:rsidRPr="005568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марта 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76" w:lineRule="exact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0B8" w:rsidRPr="0055689D" w:rsidRDefault="009360B8" w:rsidP="0093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</w:t>
      </w:r>
      <w:proofErr w:type="spellStart"/>
      <w:r w:rsidR="00EE6C99"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Артемьевского</w:t>
      </w: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</w:t>
      </w:r>
      <w:proofErr w:type="spellEnd"/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поселения,</w:t>
      </w:r>
      <w:r w:rsidR="005F4B19"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E6C99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именуемая в дальнейшем «Поселение», в лице Главы Артемьевского сельского поселения Гриневич Татьяны Владимировны, действующей на основании Положения,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</w:t>
      </w:r>
    </w:p>
    <w:p w:rsidR="009360B8" w:rsidRPr="0055689D" w:rsidRDefault="009360B8" w:rsidP="0093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Тутаевского муниципального района,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именуемая в дальнейшем </w:t>
      </w: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«Район»,</w:t>
      </w: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другой стороны, </w:t>
      </w:r>
    </w:p>
    <w:p w:rsidR="009360B8" w:rsidRPr="0055689D" w:rsidRDefault="009360B8" w:rsidP="009360B8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именуемые </w:t>
      </w: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«Стороны»,</w:t>
      </w:r>
      <w:r w:rsidR="005F4B19"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руководствуясь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частью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4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статьи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15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закона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06.10.2003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№131-ФЗ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«Об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общих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принципах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самоуправления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Федерации»,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заключили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настоящее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нижеследующем:</w:t>
      </w:r>
    </w:p>
    <w:p w:rsidR="007363DB" w:rsidRPr="0055689D" w:rsidRDefault="007363DB" w:rsidP="009360B8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1. ПРЕДМЕТ СОГЛАШЕНИЯ</w:t>
      </w:r>
    </w:p>
    <w:p w:rsidR="00737B7B" w:rsidRPr="0055689D" w:rsidRDefault="009360B8" w:rsidP="00737B7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="00737B7B"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>Поселение передает, а Район принимает осуществление части полномочий по решению вопроса местного 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737B7B" w:rsidRPr="0055689D" w:rsidRDefault="00737B7B" w:rsidP="00737B7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737B7B" w:rsidRPr="0055689D" w:rsidRDefault="00737B7B" w:rsidP="00737B7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>- организации уличного освещения</w:t>
      </w:r>
      <w:r w:rsidR="00112E19"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(содержание электрических сетей).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before="6"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2. ФИНАНСОВОЕ ОБЕСПЕЧЕНИЕ ПЕРЕДАННЫХ ПОЛНОМОЧИЙ</w:t>
      </w:r>
    </w:p>
    <w:p w:rsidR="0074224F" w:rsidRPr="0055689D" w:rsidRDefault="0074224F" w:rsidP="0074224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2.1. Указанные в пункте 1.1. настоящего Соглашения полномочия передаются на период с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момента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вступления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31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2024 года.</w:t>
      </w:r>
    </w:p>
    <w:p w:rsidR="0074224F" w:rsidRPr="0055689D" w:rsidRDefault="0074224F" w:rsidP="0074224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2.2. Стороны определяют объем передаваемых по настоящему Соглашению иных межбюджетных трансфертов,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>необходимых для осуществления передаваемых полномочий,</w:t>
      </w:r>
      <w:r w:rsidR="00662D51"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>согласно расчету, приведенному</w:t>
      </w:r>
      <w:r w:rsidR="00662D51"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приложении</w:t>
      </w:r>
      <w:r w:rsidR="004E4D98" w:rsidRPr="0055689D"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Соглашению, которое является неотъемлемой частью настоящего Соглашения.</w:t>
      </w:r>
    </w:p>
    <w:p w:rsidR="0074224F" w:rsidRPr="0055689D" w:rsidRDefault="0074224F" w:rsidP="0074224F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2.3.Финансовые средства для осуществления Районом полномочий, указанных в пункте 1.1. настоящего Соглашения, предоставляются в виде межбюджетных трансфертов из бюджета Поселения в бюджет Района в порядке межбюджетных отношений в соответствии с настоящим Соглашением и действующим законодательством. </w:t>
      </w:r>
    </w:p>
    <w:p w:rsidR="0074224F" w:rsidRPr="0055689D" w:rsidRDefault="0074224F" w:rsidP="0074224F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2.4. Получателем средств межбюджетных трансфертов является </w:t>
      </w:r>
      <w:proofErr w:type="spellStart"/>
      <w:r w:rsidRPr="0055689D">
        <w:rPr>
          <w:rFonts w:ascii="Times New Roman" w:eastAsia="Times New Roman" w:hAnsi="Times New Roman" w:cs="Times New Roman"/>
          <w:sz w:val="20"/>
          <w:szCs w:val="20"/>
        </w:rPr>
        <w:t>Тутаевский</w:t>
      </w:r>
      <w:proofErr w:type="spellEnd"/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район.</w:t>
      </w:r>
    </w:p>
    <w:p w:rsidR="0074224F" w:rsidRPr="0055689D" w:rsidRDefault="0074224F" w:rsidP="0074224F">
      <w:pPr>
        <w:widowControl w:val="0"/>
        <w:tabs>
          <w:tab w:val="left" w:pos="4557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2.5. Межбюджетные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трансферты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перечисляются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бюджет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Района ежеквартально на основании Заявки, направляемой Районом Поселению не позднее 20 числа месяца, предшествующего кварталу, за который осуществляется перечисление денежных средств. </w:t>
      </w:r>
    </w:p>
    <w:p w:rsidR="0074224F" w:rsidRPr="0055689D" w:rsidRDefault="0074224F" w:rsidP="0074224F">
      <w:pPr>
        <w:widowControl w:val="0"/>
        <w:tabs>
          <w:tab w:val="left" w:pos="4557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Отчёт о ежеквартальном расходовании денежных средств предоставляется Районом Поселению не позднее 20 числа месяца, следующего за истекшим кварталом.</w:t>
      </w:r>
    </w:p>
    <w:p w:rsidR="0074224F" w:rsidRPr="0055689D" w:rsidRDefault="0074224F" w:rsidP="0074224F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2.6. Объем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предоставляемых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бюджету </w:t>
      </w:r>
      <w:r w:rsidRPr="0055689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Района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для осуществления полномочий, указанных в пункте 1.1. настоящего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5A166C" w:rsidRPr="0055689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>27</w:t>
      </w:r>
      <w:r w:rsidR="005A166C" w:rsidRPr="0055689D">
        <w:rPr>
          <w:rFonts w:ascii="Times New Roman" w:eastAsia="Times New Roman" w:hAnsi="Times New Roman" w:cs="Times New Roman"/>
          <w:sz w:val="20"/>
          <w:szCs w:val="20"/>
        </w:rPr>
        <w:t>0 000 (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>двести семьдесят</w:t>
      </w:r>
      <w:r w:rsidR="005A166C" w:rsidRPr="0055689D">
        <w:rPr>
          <w:rFonts w:ascii="Times New Roman" w:eastAsia="Times New Roman" w:hAnsi="Times New Roman" w:cs="Times New Roman"/>
          <w:sz w:val="20"/>
          <w:szCs w:val="20"/>
        </w:rPr>
        <w:t xml:space="preserve"> тысяч)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- на содержание электрических сете</w:t>
      </w:r>
      <w:r w:rsidR="00555AEE" w:rsidRPr="0055689D">
        <w:rPr>
          <w:rFonts w:ascii="Times New Roman" w:eastAsia="Times New Roman" w:hAnsi="Times New Roman" w:cs="Times New Roman"/>
          <w:sz w:val="20"/>
          <w:szCs w:val="20"/>
        </w:rPr>
        <w:t>й (по направлению расходов 29246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6E5C48" w:rsidRPr="0055689D" w:rsidRDefault="006E5C48" w:rsidP="0074224F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7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3. ПРАВА И ОБЯЗАННОСТИ СТОРОН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 осуществляет переданные полномочия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 соответствии с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строгом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требованиями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законодательства,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технических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норм,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правил,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регламентов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актов,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регламентирующих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исполнение.</w:t>
      </w:r>
    </w:p>
    <w:p w:rsidR="009360B8" w:rsidRPr="0055689D" w:rsidRDefault="009360B8" w:rsidP="009360B8">
      <w:pPr>
        <w:widowControl w:val="0"/>
        <w:tabs>
          <w:tab w:val="left" w:pos="1231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lastRenderedPageBreak/>
        <w:t>3.2. Поселение имеет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право: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направлять Администрации района запросы о предоставлении отчета об исполнении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 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направлять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запросы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предоставлении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отчета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5F4B19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использовании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полномочий.</w:t>
      </w:r>
    </w:p>
    <w:p w:rsidR="009360B8" w:rsidRPr="0055689D" w:rsidRDefault="009360B8" w:rsidP="009360B8">
      <w:pPr>
        <w:widowControl w:val="0"/>
        <w:tabs>
          <w:tab w:val="left" w:pos="1209"/>
        </w:tabs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>3.3. Поселение обязано:</w:t>
      </w:r>
    </w:p>
    <w:p w:rsidR="009360B8" w:rsidRPr="0055689D" w:rsidRDefault="009360B8" w:rsidP="009360B8">
      <w:pPr>
        <w:widowControl w:val="0"/>
        <w:tabs>
          <w:tab w:val="left" w:pos="413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перечислять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Району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финансовые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виде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бюджета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3B54" w:rsidRPr="0055689D">
        <w:rPr>
          <w:rFonts w:ascii="Times New Roman" w:eastAsia="Times New Roman" w:hAnsi="Times New Roman" w:cs="Times New Roman"/>
          <w:sz w:val="20"/>
          <w:szCs w:val="20"/>
        </w:rPr>
        <w:t>Артемьевского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сельского поселения;</w:t>
      </w:r>
    </w:p>
    <w:p w:rsidR="009360B8" w:rsidRPr="0055689D" w:rsidRDefault="009360B8" w:rsidP="009360B8">
      <w:pPr>
        <w:widowControl w:val="0"/>
        <w:autoSpaceDE w:val="0"/>
        <w:autoSpaceDN w:val="0"/>
        <w:spacing w:before="7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имеющуюся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необходимую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для осуществления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5059C4" w:rsidRPr="0055689D" w:rsidRDefault="005059C4" w:rsidP="005059C4">
      <w:pPr>
        <w:widowControl w:val="0"/>
        <w:autoSpaceDE w:val="0"/>
        <w:autoSpaceDN w:val="0"/>
        <w:spacing w:before="74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 передать Району во временное пользование объекты уличного освещения, находящиеся в собственности Поселения, перечень которых указан в приложении №2 к настоящему Соглашению;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оказывать содействие Администрации района в разрешении вопросов, связанных сосуществлениемпереданныхполномочий.</w:t>
      </w:r>
    </w:p>
    <w:p w:rsidR="009360B8" w:rsidRPr="0055689D" w:rsidRDefault="009360B8" w:rsidP="009360B8">
      <w:pPr>
        <w:widowControl w:val="0"/>
        <w:tabs>
          <w:tab w:val="left" w:pos="12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>3.4. Район имеет</w:t>
      </w:r>
      <w:r w:rsidR="00735837"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>право: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 принимать правовые акты по вопросам, связанным с исполнением переданных 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62D51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осуществлять</w:t>
      </w:r>
      <w:r w:rsidR="00735837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взаимодействие</w:t>
      </w:r>
      <w:r w:rsidR="00735837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 w:rsidR="00735837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заинтересованными</w:t>
      </w:r>
      <w:r w:rsidR="00735837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>органами</w:t>
      </w:r>
      <w:r w:rsidR="00735837" w:rsidRPr="005568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государственной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власти,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заключать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взаимодействии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вопросам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реализации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>организовывать</w:t>
      </w:r>
      <w:r w:rsidR="00735837" w:rsidRPr="0055689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проведение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официальных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мероприятий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(совещаний,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семинаров,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т.п.)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вопросам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-направлять в Администрацию поселения запросы, в том числе по предоставлению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сведений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>документов,</w:t>
      </w:r>
      <w:r w:rsidR="00735837" w:rsidRPr="005568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необходимых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принятых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Администрацией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Соглашением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финансированию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Администрацией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(не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перечисление,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неполное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перечисление,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своевременное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перечисление межбюджетных трансфертов), Администрация района вправе приостанавливать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 срок до 1 месяца, а по окончании указанного срока прекратить исполнение переданных 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 полномочий.</w:t>
      </w:r>
    </w:p>
    <w:p w:rsidR="009360B8" w:rsidRPr="0055689D" w:rsidRDefault="009360B8" w:rsidP="009360B8">
      <w:pPr>
        <w:widowControl w:val="0"/>
        <w:tabs>
          <w:tab w:val="left" w:pos="123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3.5. Район обязан: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осуществлять переданные ей по настоящему Соглашению полномочия в соответствии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законодательством,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пределах,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выделенных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эти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цели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направлять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поступившие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трансферты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объеме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обеспечивая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целевое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использование;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эффективное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рациональное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выделенных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бюджета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определить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структурные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подразделения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(должностных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лиц),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ответственные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пункте 1.1. настоящего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Соглашения;</w:t>
      </w:r>
    </w:p>
    <w:p w:rsidR="009360B8" w:rsidRPr="0055689D" w:rsidRDefault="009360B8" w:rsidP="009360B8">
      <w:pPr>
        <w:widowControl w:val="0"/>
        <w:autoSpaceDE w:val="0"/>
        <w:autoSpaceDN w:val="0"/>
        <w:spacing w:before="1"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 запросу Поселения отчет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 полномочий;</w:t>
      </w:r>
    </w:p>
    <w:p w:rsidR="009360B8" w:rsidRPr="0055689D" w:rsidRDefault="009360B8" w:rsidP="00D83B54">
      <w:pPr>
        <w:widowControl w:val="0"/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по запросу Поселения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отчет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использовании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3B54" w:rsidRPr="0055689D">
        <w:rPr>
          <w:rFonts w:ascii="Times New Roman" w:eastAsia="Times New Roman" w:hAnsi="Times New Roman" w:cs="Times New Roman"/>
          <w:sz w:val="20"/>
          <w:szCs w:val="20"/>
        </w:rPr>
        <w:t>полномочий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63DB" w:rsidRPr="0055689D" w:rsidRDefault="007363DB" w:rsidP="009360B8">
      <w:pPr>
        <w:widowControl w:val="0"/>
        <w:autoSpaceDE w:val="0"/>
        <w:autoSpaceDN w:val="0"/>
        <w:spacing w:before="1" w:after="0" w:line="240" w:lineRule="auto"/>
        <w:ind w:right="7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before="1" w:after="0" w:line="240" w:lineRule="auto"/>
        <w:ind w:right="7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4. ОТВЕТСТВЕННОСТЬ СТОРОН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4.1. Район,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должностные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лица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несут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установленную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ответственность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надлежащее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передаваемых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 полномочий.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4.2. Район, 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целевого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финансовых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средств,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переданных Поселением на исполнение </w:t>
      </w:r>
      <w:r w:rsidR="009D0CC6" w:rsidRPr="0055689D">
        <w:rPr>
          <w:rFonts w:ascii="Times New Roman" w:eastAsia="Times New Roman" w:hAnsi="Times New Roman" w:cs="Times New Roman"/>
          <w:sz w:val="20"/>
          <w:szCs w:val="20"/>
        </w:rPr>
        <w:t>полномочий,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пункте 1.1. настоящего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несет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ответственность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порядке,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установленном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кодексом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Российской Федерации.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4.3. Последствием расторжения Соглашения является 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5.3. настоящего Соглашения, при одностороннем расторжении Соглашения.</w:t>
      </w:r>
    </w:p>
    <w:p w:rsidR="009360B8" w:rsidRPr="0055689D" w:rsidRDefault="009360B8" w:rsidP="009360B8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4.4. 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установления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фактов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надлежащего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Районом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Поселение вправе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требовать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уплаты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неустойки в размере 1/300 ключевой ставки Центрального банка РФ от перечисленной суммы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трансфертов,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выделенной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бюджета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полномочий.</w:t>
      </w:r>
    </w:p>
    <w:p w:rsidR="009360B8" w:rsidRPr="0055689D" w:rsidRDefault="009360B8" w:rsidP="009360B8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4.5. При установлении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факта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своевременного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перечисления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Поселением</w:t>
      </w:r>
      <w:r w:rsidR="00735837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 вправе требовать уплаты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неустойки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размере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1/300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ключевой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ставки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Центрального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банка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РФ от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суммы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трансфертов за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отчетный год.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4.6. Применение санкций не освобождает Стороны от исполнения принятых по настоящему Соглашению обязательств.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5. СРОК ДЕЙСТВИЯ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</w:rPr>
        <w:t>И ОСНОВАНИЯ ПРЕКРАЩЕНИЯ ДЕЙСТВИЯ СОГЛАШЕНИЯ</w:t>
      </w:r>
    </w:p>
    <w:p w:rsidR="000E0D04" w:rsidRPr="0055689D" w:rsidRDefault="009360B8" w:rsidP="009360B8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r w:rsidR="006E5C48" w:rsidRPr="0055689D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Соглашение вступает в силу с 1 апреля 2024 года, но не ранее даты его официального опубликования, и   действует по 31 декабря 2024 года. </w:t>
      </w:r>
      <w:r w:rsidR="00C53263" w:rsidRPr="0055689D">
        <w:rPr>
          <w:rFonts w:ascii="Times New Roman" w:eastAsia="Times New Roman" w:hAnsi="Times New Roman" w:cs="Times New Roman"/>
          <w:sz w:val="20"/>
          <w:szCs w:val="20"/>
        </w:rPr>
        <w:t>Пункт 2.5. настоящего</w:t>
      </w:r>
      <w:r w:rsidR="00E62CC5" w:rsidRPr="0055689D">
        <w:rPr>
          <w:rFonts w:ascii="Times New Roman" w:eastAsia="Times New Roman" w:hAnsi="Times New Roman" w:cs="Times New Roman"/>
          <w:sz w:val="20"/>
          <w:szCs w:val="20"/>
        </w:rPr>
        <w:t xml:space="preserve"> Соглашения распространяется на правоотношения, возникшие с 15 марта 2024 года.</w:t>
      </w:r>
    </w:p>
    <w:p w:rsidR="009360B8" w:rsidRPr="0055689D" w:rsidRDefault="009360B8" w:rsidP="009360B8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5.2. Настоящее</w:t>
      </w:r>
      <w:r w:rsidR="000B4553" w:rsidRPr="005568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прекращено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том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досрочно):</w:t>
      </w:r>
    </w:p>
    <w:p w:rsidR="009360B8" w:rsidRPr="0055689D" w:rsidRDefault="009360B8" w:rsidP="009360B8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5.2.1.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сторон;</w:t>
      </w:r>
    </w:p>
    <w:p w:rsidR="009360B8" w:rsidRPr="0055689D" w:rsidRDefault="009360B8" w:rsidP="009360B8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2.2. 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одностороннем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порядке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без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обращения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суд: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действующего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и/или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законодательства Ярославской области, влекущего не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возможность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переданных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6C99" w:rsidRPr="0055689D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 xml:space="preserve"> полномочий;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 случае неоднократной (два и более раз в течение года) просрочки перечисления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межбюджетных трансфертов,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статье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3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Соглашения;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-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установления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Поселением фактов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надлежащего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осуществления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Районом переданных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полномочий.</w:t>
      </w:r>
    </w:p>
    <w:p w:rsidR="009360B8" w:rsidRPr="0055689D" w:rsidRDefault="009360B8" w:rsidP="009360B8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5.3. Уведомление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расторжении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одностороннем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порядке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направляется другой стороне в письменном виде.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Соглашение считается расторгнутым по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истечении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30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календарных дней со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дня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получения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уведомления.</w:t>
      </w:r>
    </w:p>
    <w:p w:rsidR="00E62CC5" w:rsidRPr="0055689D" w:rsidRDefault="00E62CC5" w:rsidP="009360B8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2CC5" w:rsidRPr="0055689D" w:rsidRDefault="00E62CC5" w:rsidP="009360B8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9360B8" w:rsidRPr="0055689D" w:rsidRDefault="009360B8" w:rsidP="009360B8">
      <w:pPr>
        <w:widowControl w:val="0"/>
        <w:tabs>
          <w:tab w:val="left" w:pos="122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6.1. По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всем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вопросам,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урегулированным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Соглашением,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возникающим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 ходе его реализации, стороны Соглашения будут принимать меры к их разрешению путем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переговоров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согласительных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процедур,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руководствуясь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9360B8" w:rsidRPr="0055689D" w:rsidRDefault="009360B8" w:rsidP="009360B8">
      <w:pPr>
        <w:widowControl w:val="0"/>
        <w:tabs>
          <w:tab w:val="left" w:pos="117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6.2. Внесение изменений и дополнений в настоящее Соглашение осуществляется по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взаимному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согласию с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торон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путем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заключения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дополнительных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Соглашений,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неотъемлемой частью настоящего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Соглашения.</w:t>
      </w:r>
    </w:p>
    <w:p w:rsidR="009360B8" w:rsidRPr="0055689D" w:rsidRDefault="009360B8" w:rsidP="009360B8">
      <w:pPr>
        <w:widowControl w:val="0"/>
        <w:tabs>
          <w:tab w:val="left" w:pos="117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89D">
        <w:rPr>
          <w:rFonts w:ascii="Times New Roman" w:eastAsia="Times New Roman" w:hAnsi="Times New Roman" w:cs="Times New Roman"/>
          <w:sz w:val="20"/>
          <w:szCs w:val="20"/>
        </w:rPr>
        <w:t>6.3. Настоящее Соглашение заключено в двух экземплярах, по одному для каждой из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Сторон,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имеющих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равную</w:t>
      </w:r>
      <w:r w:rsidR="000B4553" w:rsidRPr="00556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89D">
        <w:rPr>
          <w:rFonts w:ascii="Times New Roman" w:eastAsia="Times New Roman" w:hAnsi="Times New Roman" w:cs="Times New Roman"/>
          <w:sz w:val="20"/>
          <w:szCs w:val="20"/>
        </w:rPr>
        <w:t>юридическую силу.</w:t>
      </w:r>
    </w:p>
    <w:p w:rsidR="009360B8" w:rsidRPr="0055689D" w:rsidRDefault="009360B8" w:rsidP="009360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60B8" w:rsidRPr="0055689D" w:rsidRDefault="009360B8" w:rsidP="009360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АДРЕСА, РЕКВИЗИТЫ И ПОДПИСИ СТОРОН</w:t>
      </w:r>
    </w:p>
    <w:p w:rsidR="009360B8" w:rsidRPr="0055689D" w:rsidRDefault="009360B8" w:rsidP="0093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861"/>
        <w:gridCol w:w="4710"/>
      </w:tblGrid>
      <w:tr w:rsidR="009360B8" w:rsidRPr="0055689D" w:rsidTr="00CD286D">
        <w:tc>
          <w:tcPr>
            <w:tcW w:w="4861" w:type="dxa"/>
          </w:tcPr>
          <w:p w:rsidR="009360B8" w:rsidRPr="0055689D" w:rsidRDefault="009360B8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Тутаевского муниципального района </w:t>
            </w:r>
          </w:p>
          <w:p w:rsidR="009360B8" w:rsidRPr="0055689D" w:rsidRDefault="009360B8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(фактический, почтовый) адрес: 152300, Ярославская область, 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Тутаев, ул. Романовская. 35. 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(48533) 2-12-78.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Ярославской области (Администрация Тутаевского муниципального района л/с 04713003410)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7611002653 КПП 761101001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 03100643000000017100 (Счёт получателя)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ОТДЕЛЕНИЕ ЯРОСЛАВЛЬ БАНКА РОССИИ //УФК по Ярославской области 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017888102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счёт: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40102810245370000065 (Счёт банка получателя)</w:t>
            </w:r>
          </w:p>
          <w:p w:rsidR="000C3A8C" w:rsidRPr="0055689D" w:rsidRDefault="000C3A8C" w:rsidP="000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78643000</w:t>
            </w:r>
          </w:p>
          <w:p w:rsidR="009360B8" w:rsidRPr="0055689D" w:rsidRDefault="000C3A8C" w:rsidP="000C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– 95020240014054613150</w:t>
            </w:r>
          </w:p>
          <w:p w:rsidR="000C3A8C" w:rsidRPr="0055689D" w:rsidRDefault="000C3A8C" w:rsidP="000C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A8C" w:rsidRPr="0055689D" w:rsidRDefault="000C3A8C" w:rsidP="000C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A8C" w:rsidRPr="0055689D" w:rsidRDefault="000C3A8C" w:rsidP="000C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</w:tcPr>
          <w:p w:rsidR="009360B8" w:rsidRPr="0055689D" w:rsidRDefault="009360B8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4D1D93"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Артемьевского</w:t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  <w:p w:rsidR="009360B8" w:rsidRPr="0055689D" w:rsidRDefault="009360B8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(фактический, почтовый) адрес: 152300, Ярославская обл.,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Емишево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д.24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(48533) 4-58-46 / (48533) 4-58-18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7611016487/761101001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Казначейский счет: 03231643786434057100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ОТДЕЛЕНИЕ ЯРОСЛАВЛЬ БАНКА РОССИИ//УФК по Ярославской области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казначейский счет: 40102810245370000065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017888102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78643405,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1067611020300, </w:t>
            </w:r>
          </w:p>
          <w:p w:rsidR="00CD286D" w:rsidRPr="0055689D" w:rsidRDefault="00CD286D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96994577, ОКВЭД 84.11.35 </w:t>
            </w:r>
          </w:p>
          <w:p w:rsidR="009360B8" w:rsidRPr="0055689D" w:rsidRDefault="009360B8" w:rsidP="00C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B8" w:rsidRPr="0055689D" w:rsidTr="00CD286D">
        <w:tc>
          <w:tcPr>
            <w:tcW w:w="4861" w:type="dxa"/>
          </w:tcPr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Тутаевского </w:t>
            </w:r>
          </w:p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          </w:t>
            </w:r>
          </w:p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______________________О.В.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Низова</w:t>
            </w:r>
            <w:proofErr w:type="spellEnd"/>
          </w:p>
        </w:tc>
        <w:tc>
          <w:tcPr>
            <w:tcW w:w="4710" w:type="dxa"/>
          </w:tcPr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="006263FC"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Артемьевского</w:t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9360B8" w:rsidRPr="0055689D" w:rsidRDefault="009360B8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0B8" w:rsidRPr="0055689D" w:rsidRDefault="00F07690" w:rsidP="00F0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Т.В. Гриневич</w:t>
            </w:r>
          </w:p>
        </w:tc>
      </w:tr>
    </w:tbl>
    <w:p w:rsidR="006E5C48" w:rsidRPr="0055689D" w:rsidRDefault="006E5C48">
      <w:pPr>
        <w:rPr>
          <w:sz w:val="20"/>
          <w:szCs w:val="20"/>
        </w:rPr>
      </w:pPr>
    </w:p>
    <w:p w:rsidR="002B0FE3" w:rsidRPr="0055689D" w:rsidRDefault="002B0FE3">
      <w:pPr>
        <w:rPr>
          <w:sz w:val="20"/>
          <w:szCs w:val="20"/>
        </w:rPr>
      </w:pPr>
    </w:p>
    <w:p w:rsidR="00DA6289" w:rsidRPr="0055689D" w:rsidRDefault="0055689D" w:rsidP="00DA628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DA6289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DA6289" w:rsidRPr="0055689D" w:rsidRDefault="00DA6289" w:rsidP="00DA6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Соглашению </w:t>
      </w:r>
    </w:p>
    <w:p w:rsidR="00DA6289" w:rsidRPr="0055689D" w:rsidRDefault="00DA6289" w:rsidP="00DA6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62CC5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21 марта 2024 г.</w:t>
      </w:r>
    </w:p>
    <w:p w:rsidR="009F3FD7" w:rsidRPr="0055689D" w:rsidRDefault="009F3FD7" w:rsidP="00DA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3FD7" w:rsidRPr="0055689D" w:rsidRDefault="009F3FD7" w:rsidP="00DA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289" w:rsidRPr="0055689D" w:rsidRDefault="00DA6289" w:rsidP="00DA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Расчет иных межбюджетных трансфертов на осуществление части полномочий по решению вопросов местного значения </w:t>
      </w:r>
      <w:proofErr w:type="spellStart"/>
      <w:r w:rsidR="00D83B54"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Артемьевского</w:t>
      </w: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</w:t>
      </w:r>
      <w:proofErr w:type="spellEnd"/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поселения Тутаевского муниципального района Ярославской области </w:t>
      </w:r>
    </w:p>
    <w:p w:rsidR="00DA6289" w:rsidRPr="0055689D" w:rsidRDefault="00DA6289" w:rsidP="00DA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части </w:t>
      </w:r>
      <w:r w:rsidR="009F3FD7"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организации </w:t>
      </w:r>
      <w:r w:rsidRPr="00556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уличного освещения </w:t>
      </w:r>
    </w:p>
    <w:p w:rsidR="00851590" w:rsidRPr="0055689D" w:rsidRDefault="00851590" w:rsidP="00DA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7EEA" w:rsidRPr="0055689D" w:rsidRDefault="00EA7EEA" w:rsidP="00D47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EEA" w:rsidRPr="0055689D" w:rsidRDefault="005A496D" w:rsidP="00EA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="00EA7EEA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выполнение работ по техническому обслуживанию и содержанию уличного освещения</w:t>
      </w:r>
      <w:r w:rsidR="00EC1D54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01.04.2024 года запланированы в сумме 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743514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0 000,00 </w:t>
      </w:r>
      <w:r w:rsidR="00662D51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(двести семьдесят тысяч) </w:t>
      </w:r>
      <w:r w:rsidR="00743514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с учетом обычных в подобных случаях прямых и косвенных затрат на данные виды работ</w:t>
      </w:r>
      <w:r w:rsidR="005538AA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перечнем стоимости данных видов работ и материалов по муниципальному контракту, заключенному на</w:t>
      </w:r>
      <w:r w:rsidR="00D47612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квартал</w:t>
      </w:r>
      <w:r w:rsidR="005538AA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2024 год</w:t>
      </w:r>
      <w:r w:rsidR="00D47612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948EE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пределах лимитов бюджетных обязательств на 2024 год</w:t>
      </w:r>
      <w:r w:rsidR="005538AA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38E7" w:rsidRPr="0055689D" w:rsidRDefault="00B138E7" w:rsidP="00EA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51A" w:rsidRPr="0055689D" w:rsidRDefault="00B0151A" w:rsidP="0020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861"/>
        <w:gridCol w:w="4710"/>
      </w:tblGrid>
      <w:tr w:rsidR="00950357" w:rsidRPr="0055689D" w:rsidTr="005F4B19">
        <w:tc>
          <w:tcPr>
            <w:tcW w:w="4861" w:type="dxa"/>
          </w:tcPr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ГлаваТутаевского</w:t>
            </w:r>
            <w:proofErr w:type="spellEnd"/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          </w:t>
            </w:r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______________________О.В.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Низова</w:t>
            </w:r>
            <w:proofErr w:type="spellEnd"/>
          </w:p>
        </w:tc>
        <w:tc>
          <w:tcPr>
            <w:tcW w:w="4710" w:type="dxa"/>
          </w:tcPr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Артемьевскогосельского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357" w:rsidRPr="0055689D" w:rsidRDefault="00950357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Т.В. Гриневич</w:t>
            </w:r>
          </w:p>
        </w:tc>
      </w:tr>
    </w:tbl>
    <w:p w:rsidR="00950357" w:rsidRPr="0055689D" w:rsidRDefault="00950357" w:rsidP="00950357">
      <w:pPr>
        <w:rPr>
          <w:sz w:val="20"/>
          <w:szCs w:val="20"/>
        </w:rPr>
      </w:pPr>
    </w:p>
    <w:p w:rsidR="000B4553" w:rsidRPr="0055689D" w:rsidRDefault="000B4553" w:rsidP="00950357">
      <w:pPr>
        <w:rPr>
          <w:sz w:val="20"/>
          <w:szCs w:val="20"/>
        </w:rPr>
      </w:pPr>
    </w:p>
    <w:p w:rsidR="002B7E1F" w:rsidRPr="0055689D" w:rsidRDefault="002B7E1F" w:rsidP="002B7E1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2B7E1F" w:rsidRPr="0055689D" w:rsidRDefault="002B7E1F" w:rsidP="002B7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Соглашению </w:t>
      </w:r>
    </w:p>
    <w:p w:rsidR="002B7E1F" w:rsidRPr="0055689D" w:rsidRDefault="002B7E1F" w:rsidP="002B7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62CC5" w:rsidRPr="0055689D">
        <w:rPr>
          <w:rFonts w:ascii="Times New Roman" w:eastAsia="Times New Roman" w:hAnsi="Times New Roman" w:cs="Times New Roman"/>
          <w:sz w:val="20"/>
          <w:szCs w:val="20"/>
          <w:lang w:eastAsia="ru-RU"/>
        </w:rPr>
        <w:t>21 марта 2024 г.</w:t>
      </w:r>
    </w:p>
    <w:p w:rsidR="002B7E1F" w:rsidRPr="0055689D" w:rsidRDefault="002B7E1F" w:rsidP="002B7E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7E1F" w:rsidRPr="0055689D" w:rsidRDefault="002B7E1F" w:rsidP="002B7E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7E1F" w:rsidRPr="0055689D" w:rsidRDefault="002B7E1F" w:rsidP="002B7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9D">
        <w:rPr>
          <w:rFonts w:ascii="Times New Roman" w:hAnsi="Times New Roman" w:cs="Times New Roman"/>
          <w:b/>
          <w:sz w:val="20"/>
          <w:szCs w:val="20"/>
        </w:rPr>
        <w:t>Перечень объектов,</w:t>
      </w:r>
    </w:p>
    <w:p w:rsidR="002B7E1F" w:rsidRPr="0055689D" w:rsidRDefault="002B7E1F" w:rsidP="002B7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89D">
        <w:rPr>
          <w:rFonts w:ascii="Times New Roman" w:hAnsi="Times New Roman" w:cs="Times New Roman"/>
          <w:b/>
          <w:sz w:val="20"/>
          <w:szCs w:val="20"/>
        </w:rPr>
        <w:t xml:space="preserve"> в отношении которых осуществляется передача полномочий по их содержанию</w:t>
      </w:r>
    </w:p>
    <w:tbl>
      <w:tblPr>
        <w:tblW w:w="9850" w:type="dxa"/>
        <w:tblLook w:val="04A0"/>
      </w:tblPr>
      <w:tblGrid>
        <w:gridCol w:w="88"/>
        <w:gridCol w:w="513"/>
        <w:gridCol w:w="1862"/>
        <w:gridCol w:w="1496"/>
        <w:gridCol w:w="894"/>
        <w:gridCol w:w="642"/>
        <w:gridCol w:w="142"/>
        <w:gridCol w:w="1275"/>
        <w:gridCol w:w="709"/>
        <w:gridCol w:w="1950"/>
        <w:gridCol w:w="279"/>
      </w:tblGrid>
      <w:tr w:rsidR="002B7E1F" w:rsidRPr="0055689D" w:rsidTr="000B4553">
        <w:trPr>
          <w:gridBefore w:val="1"/>
          <w:wBefore w:w="88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E1F" w:rsidRPr="0055689D" w:rsidTr="000B4553">
        <w:trPr>
          <w:gridBefore w:val="1"/>
          <w:wBefore w:w="88" w:type="dxa"/>
          <w:trHeight w:val="9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места установки (населенный пункт, улица)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светильников шт.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точки подключения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прибора учета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E1F" w:rsidRPr="0055689D" w:rsidRDefault="002B7E1F" w:rsidP="005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опоры уличного освещения</w:t>
            </w:r>
          </w:p>
        </w:tc>
      </w:tr>
      <w:tr w:rsidR="002B7E1F" w:rsidRPr="0055689D" w:rsidTr="000B4553">
        <w:trPr>
          <w:gridBefore w:val="1"/>
          <w:wBefore w:w="88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д.Мартыново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д.Рыково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760400013932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1212132367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д.Сущево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д.Красинское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760400013683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д.Голенищево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д.Кузилово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д.Шеломки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д.Подлесное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д.Антифьево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760400013198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1205140059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д.Никифорово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760400008629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д.Новоселки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д.Шелково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1205122351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д.Мишаки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13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д.Емишево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760400013309   760400013319   760400013321   760400013317   760400013318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1204136879   1204131256   1204133059                     1204130920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д.Есюки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д.Лыкошино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д.Лазарцево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1208120512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д.Артемьево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1212130758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д.Манцурово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д.Рождественное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760400013923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15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д.Столбищи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760400013986  760400013863  760400013987  760400013984  760400013985  760400013991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1212132332        1212130718          1212132159         1205140067 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д.Парняково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760400013863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1212131468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д.Каменка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д.Ионовское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760400013365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1212131936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д.Сельцо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с.Николо-Эдома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с.Ваулово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д.Баскаково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д.Безмино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д.Ильинское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760400012803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д.Олешково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760400013832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д.Вышницы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д.Парфенково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д.Клинцево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д.Ваулово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д.Новенькое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д.Полуэктово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760400013884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Тутаевских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д.Осташево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760800014524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5277878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сети уличного освещения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д.Осташево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700м, 16 опор, 8светильников</w:t>
            </w:r>
          </w:p>
        </w:tc>
      </w:tr>
      <w:tr w:rsidR="002B7E1F" w:rsidRPr="0055689D" w:rsidTr="000B4553">
        <w:trPr>
          <w:gridBefore w:val="1"/>
          <w:wBefore w:w="88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1F" w:rsidRPr="0055689D" w:rsidRDefault="002B7E1F" w:rsidP="005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E1F" w:rsidRPr="0055689D" w:rsidTr="000B4553">
        <w:trPr>
          <w:gridAfter w:val="1"/>
          <w:wAfter w:w="279" w:type="dxa"/>
        </w:trPr>
        <w:tc>
          <w:tcPr>
            <w:tcW w:w="4853" w:type="dxa"/>
            <w:gridSpan w:val="5"/>
          </w:tcPr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ГлаваТутаевского</w:t>
            </w:r>
            <w:proofErr w:type="spellEnd"/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          </w:t>
            </w:r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______________________О.В.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Низова</w:t>
            </w:r>
            <w:proofErr w:type="spellEnd"/>
          </w:p>
        </w:tc>
        <w:tc>
          <w:tcPr>
            <w:tcW w:w="4718" w:type="dxa"/>
            <w:gridSpan w:val="5"/>
          </w:tcPr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Артемьевскогосельского</w:t>
            </w:r>
            <w:proofErr w:type="spellEnd"/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E1F" w:rsidRPr="0055689D" w:rsidRDefault="002B7E1F" w:rsidP="005F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Т.В. Гриневич</w:t>
            </w:r>
          </w:p>
        </w:tc>
      </w:tr>
    </w:tbl>
    <w:p w:rsidR="002B7E1F" w:rsidRPr="0055689D" w:rsidRDefault="002B7E1F" w:rsidP="002B7E1F">
      <w:pPr>
        <w:rPr>
          <w:sz w:val="20"/>
          <w:szCs w:val="20"/>
        </w:rPr>
      </w:pPr>
    </w:p>
    <w:p w:rsidR="002B7E1F" w:rsidRPr="0055689D" w:rsidRDefault="002B7E1F" w:rsidP="002B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F95" w:rsidRPr="0055689D" w:rsidRDefault="006C5F95">
      <w:pPr>
        <w:rPr>
          <w:sz w:val="20"/>
          <w:szCs w:val="20"/>
        </w:rPr>
      </w:pPr>
      <w:bookmarkStart w:id="0" w:name="_GoBack"/>
      <w:bookmarkEnd w:id="0"/>
    </w:p>
    <w:sectPr w:rsidR="006C5F95" w:rsidRPr="0055689D" w:rsidSect="0010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011"/>
    <w:multiLevelType w:val="hybridMultilevel"/>
    <w:tmpl w:val="81F0623A"/>
    <w:lvl w:ilvl="0" w:tplc="7D60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1024B"/>
    <w:multiLevelType w:val="hybridMultilevel"/>
    <w:tmpl w:val="9424A1D0"/>
    <w:lvl w:ilvl="0" w:tplc="2340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B3394"/>
    <w:multiLevelType w:val="hybridMultilevel"/>
    <w:tmpl w:val="FAB81810"/>
    <w:lvl w:ilvl="0" w:tplc="6E96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0B8"/>
    <w:rsid w:val="00013DA6"/>
    <w:rsid w:val="000340F5"/>
    <w:rsid w:val="00047B24"/>
    <w:rsid w:val="000A7BAD"/>
    <w:rsid w:val="000B4553"/>
    <w:rsid w:val="000C3A8C"/>
    <w:rsid w:val="000E0D04"/>
    <w:rsid w:val="00103F65"/>
    <w:rsid w:val="0010648B"/>
    <w:rsid w:val="00112E19"/>
    <w:rsid w:val="00114EFD"/>
    <w:rsid w:val="0017010C"/>
    <w:rsid w:val="001D0804"/>
    <w:rsid w:val="001D6B00"/>
    <w:rsid w:val="00205D34"/>
    <w:rsid w:val="00206DA1"/>
    <w:rsid w:val="0026754D"/>
    <w:rsid w:val="002B0FE3"/>
    <w:rsid w:val="002B7E1F"/>
    <w:rsid w:val="003753B6"/>
    <w:rsid w:val="003A13B4"/>
    <w:rsid w:val="004117FE"/>
    <w:rsid w:val="00440BC3"/>
    <w:rsid w:val="00481706"/>
    <w:rsid w:val="00483D7E"/>
    <w:rsid w:val="004D1D93"/>
    <w:rsid w:val="004E4D98"/>
    <w:rsid w:val="00502AFD"/>
    <w:rsid w:val="005059C4"/>
    <w:rsid w:val="005538AA"/>
    <w:rsid w:val="00555AEE"/>
    <w:rsid w:val="0055689D"/>
    <w:rsid w:val="00564B57"/>
    <w:rsid w:val="005A166C"/>
    <w:rsid w:val="005A496D"/>
    <w:rsid w:val="005A5581"/>
    <w:rsid w:val="005C5B9A"/>
    <w:rsid w:val="005F4B19"/>
    <w:rsid w:val="0060474B"/>
    <w:rsid w:val="006263FC"/>
    <w:rsid w:val="00632AE5"/>
    <w:rsid w:val="00662D51"/>
    <w:rsid w:val="00663106"/>
    <w:rsid w:val="00664CB6"/>
    <w:rsid w:val="00686FDA"/>
    <w:rsid w:val="006C5F95"/>
    <w:rsid w:val="006E5C48"/>
    <w:rsid w:val="00735837"/>
    <w:rsid w:val="007363DB"/>
    <w:rsid w:val="00737B7B"/>
    <w:rsid w:val="0074224F"/>
    <w:rsid w:val="00743514"/>
    <w:rsid w:val="00745AFE"/>
    <w:rsid w:val="007515E9"/>
    <w:rsid w:val="00760CB2"/>
    <w:rsid w:val="00785A11"/>
    <w:rsid w:val="007C67B8"/>
    <w:rsid w:val="007E38E9"/>
    <w:rsid w:val="007F73AB"/>
    <w:rsid w:val="00815942"/>
    <w:rsid w:val="00851590"/>
    <w:rsid w:val="00863B84"/>
    <w:rsid w:val="008661D2"/>
    <w:rsid w:val="00874C4D"/>
    <w:rsid w:val="008B6BAB"/>
    <w:rsid w:val="00906F37"/>
    <w:rsid w:val="009360B8"/>
    <w:rsid w:val="00950357"/>
    <w:rsid w:val="009675A8"/>
    <w:rsid w:val="00991C95"/>
    <w:rsid w:val="009D0CC6"/>
    <w:rsid w:val="009F3FD7"/>
    <w:rsid w:val="00A03B41"/>
    <w:rsid w:val="00A66CF0"/>
    <w:rsid w:val="00A7132D"/>
    <w:rsid w:val="00A773AE"/>
    <w:rsid w:val="00B0151A"/>
    <w:rsid w:val="00B04B81"/>
    <w:rsid w:val="00B138E7"/>
    <w:rsid w:val="00B35DCE"/>
    <w:rsid w:val="00BC2C09"/>
    <w:rsid w:val="00C53263"/>
    <w:rsid w:val="00C540A9"/>
    <w:rsid w:val="00C752B5"/>
    <w:rsid w:val="00CC0E5F"/>
    <w:rsid w:val="00CD286D"/>
    <w:rsid w:val="00D47612"/>
    <w:rsid w:val="00D83B54"/>
    <w:rsid w:val="00D92B81"/>
    <w:rsid w:val="00DA6289"/>
    <w:rsid w:val="00E03964"/>
    <w:rsid w:val="00E0536F"/>
    <w:rsid w:val="00E53E18"/>
    <w:rsid w:val="00E62CC5"/>
    <w:rsid w:val="00E9304D"/>
    <w:rsid w:val="00EA7EEA"/>
    <w:rsid w:val="00EC1D54"/>
    <w:rsid w:val="00EE6C99"/>
    <w:rsid w:val="00F07690"/>
    <w:rsid w:val="00F07B07"/>
    <w:rsid w:val="00F26378"/>
    <w:rsid w:val="00F371B1"/>
    <w:rsid w:val="00F93C12"/>
    <w:rsid w:val="00F948EE"/>
    <w:rsid w:val="00F9668B"/>
    <w:rsid w:val="00FB1A3A"/>
    <w:rsid w:val="00FC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90"/>
    <w:pPr>
      <w:ind w:left="720"/>
      <w:contextualSpacing/>
    </w:pPr>
  </w:style>
  <w:style w:type="table" w:styleId="a4">
    <w:name w:val="Table Grid"/>
    <w:basedOn w:val="a1"/>
    <w:uiPriority w:val="59"/>
    <w:rsid w:val="005C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2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F858-1EF8-4256-9C18-DAE4C4F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ZamGlava</cp:lastModifiedBy>
  <cp:revision>10</cp:revision>
  <cp:lastPrinted>2024-03-22T10:22:00Z</cp:lastPrinted>
  <dcterms:created xsi:type="dcterms:W3CDTF">2024-03-15T09:28:00Z</dcterms:created>
  <dcterms:modified xsi:type="dcterms:W3CDTF">2024-03-25T11:04:00Z</dcterms:modified>
</cp:coreProperties>
</file>