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0E" w:rsidRDefault="006933BA">
      <w:pPr>
        <w:pStyle w:val="1"/>
        <w:snapToGrid w:val="0"/>
        <w:ind w:left="0"/>
        <w:jc w:val="center"/>
        <w:rPr>
          <w:b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0E" w:rsidRDefault="00C83C0E">
      <w:pPr>
        <w:pStyle w:val="1"/>
        <w:ind w:left="0"/>
        <w:jc w:val="center"/>
      </w:pPr>
      <w:r>
        <w:t>Администрация Тутаевского муниципального района</w:t>
      </w:r>
    </w:p>
    <w:p w:rsidR="00C83C0E" w:rsidRDefault="00C83C0E">
      <w:pPr>
        <w:jc w:val="center"/>
      </w:pPr>
    </w:p>
    <w:p w:rsidR="00C83C0E" w:rsidRDefault="00C83C0E">
      <w:pPr>
        <w:pStyle w:val="1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83C0E" w:rsidRDefault="00C83C0E">
      <w:pPr>
        <w:rPr>
          <w:b/>
        </w:rPr>
      </w:pPr>
    </w:p>
    <w:p w:rsidR="00C83C0E" w:rsidRDefault="00AC42BE">
      <w:pPr>
        <w:rPr>
          <w:b/>
        </w:rPr>
      </w:pPr>
      <w:r>
        <w:rPr>
          <w:b/>
        </w:rPr>
        <w:t>о</w:t>
      </w:r>
      <w:r w:rsidR="00C83C0E">
        <w:rPr>
          <w:b/>
        </w:rPr>
        <w:t>т</w:t>
      </w:r>
      <w:r w:rsidR="0084592D">
        <w:rPr>
          <w:b/>
        </w:rPr>
        <w:t xml:space="preserve"> 14.09.2023 </w:t>
      </w:r>
      <w:r w:rsidR="00C83C0E">
        <w:rPr>
          <w:b/>
        </w:rPr>
        <w:t xml:space="preserve">№ </w:t>
      </w:r>
      <w:r w:rsidR="0084592D">
        <w:rPr>
          <w:b/>
        </w:rPr>
        <w:t>32а-р</w:t>
      </w:r>
    </w:p>
    <w:p w:rsidR="00C83C0E" w:rsidRDefault="00C83C0E">
      <w:pPr>
        <w:rPr>
          <w:bCs/>
        </w:rPr>
      </w:pPr>
      <w:r>
        <w:rPr>
          <w:bCs/>
        </w:rPr>
        <w:t>г. Тутаев</w:t>
      </w:r>
    </w:p>
    <w:p w:rsidR="00C83C0E" w:rsidRDefault="00C83C0E"/>
    <w:p w:rsidR="00E470E3" w:rsidRDefault="00C83C0E" w:rsidP="00AC0F76">
      <w:pPr>
        <w:ind w:right="4819"/>
        <w:rPr>
          <w:color w:val="000000"/>
        </w:rPr>
      </w:pPr>
      <w:r>
        <w:rPr>
          <w:color w:val="000000"/>
        </w:rPr>
        <w:t>О</w:t>
      </w:r>
      <w:r w:rsidR="00AC0F76">
        <w:rPr>
          <w:color w:val="000000"/>
        </w:rPr>
        <w:t xml:space="preserve"> внесении изменений в распоряжение</w:t>
      </w:r>
      <w:r w:rsidR="008F0BEC">
        <w:rPr>
          <w:color w:val="000000"/>
        </w:rPr>
        <w:t xml:space="preserve"> </w:t>
      </w:r>
    </w:p>
    <w:p w:rsidR="00AC0F76" w:rsidRDefault="00E470E3" w:rsidP="00994216">
      <w:pPr>
        <w:ind w:right="4819"/>
        <w:rPr>
          <w:color w:val="000000"/>
        </w:rPr>
      </w:pPr>
      <w:r>
        <w:rPr>
          <w:color w:val="000000"/>
        </w:rPr>
        <w:t xml:space="preserve">Администрации ТМР </w:t>
      </w:r>
      <w:r w:rsidR="00AC0F76">
        <w:rPr>
          <w:color w:val="000000"/>
        </w:rPr>
        <w:t>от 13.02.2012</w:t>
      </w:r>
    </w:p>
    <w:p w:rsidR="00AC0F76" w:rsidRPr="00AC0F76" w:rsidRDefault="00AC0F76" w:rsidP="00AC0F76">
      <w:pPr>
        <w:ind w:right="4819"/>
        <w:rPr>
          <w:color w:val="000000"/>
        </w:rPr>
      </w:pPr>
      <w:r>
        <w:rPr>
          <w:color w:val="000000"/>
        </w:rPr>
        <w:t xml:space="preserve">№ 04 «О </w:t>
      </w:r>
      <w:r w:rsidRPr="00AC0F76">
        <w:rPr>
          <w:color w:val="000000"/>
        </w:rPr>
        <w:t xml:space="preserve">порядке уведомления </w:t>
      </w:r>
    </w:p>
    <w:p w:rsidR="00AC0F76" w:rsidRPr="00AC0F76" w:rsidRDefault="00AC0F76" w:rsidP="00AC0F76">
      <w:pPr>
        <w:ind w:right="4819"/>
        <w:rPr>
          <w:color w:val="000000"/>
        </w:rPr>
      </w:pPr>
      <w:r w:rsidRPr="00AC0F76">
        <w:rPr>
          <w:color w:val="000000"/>
        </w:rPr>
        <w:t xml:space="preserve">представителя нанимателя (работодателя)  </w:t>
      </w:r>
    </w:p>
    <w:p w:rsidR="00127C9C" w:rsidRDefault="00AC0F76" w:rsidP="00AC0F76">
      <w:pPr>
        <w:ind w:right="4819"/>
        <w:rPr>
          <w:color w:val="000000"/>
        </w:rPr>
      </w:pPr>
      <w:r w:rsidRPr="00AC0F76">
        <w:rPr>
          <w:color w:val="000000"/>
        </w:rPr>
        <w:t>об иной оплачиваемой работе</w:t>
      </w:r>
      <w:r>
        <w:rPr>
          <w:color w:val="000000"/>
        </w:rPr>
        <w:t xml:space="preserve">» </w:t>
      </w:r>
    </w:p>
    <w:p w:rsidR="008E38A4" w:rsidRDefault="008E38A4">
      <w:pPr>
        <w:jc w:val="both"/>
        <w:rPr>
          <w:color w:val="000000"/>
          <w:sz w:val="20"/>
          <w:szCs w:val="20"/>
        </w:rPr>
      </w:pPr>
    </w:p>
    <w:p w:rsidR="00473D8F" w:rsidRDefault="00473D8F" w:rsidP="008F0B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ACA" w:rsidRPr="00E97ACA" w:rsidRDefault="00C83C0E" w:rsidP="00E97AC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C0F76"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соответствии с Федеральн</w:t>
      </w:r>
      <w:r w:rsidR="00AC0F76">
        <w:rPr>
          <w:sz w:val="28"/>
          <w:szCs w:val="28"/>
        </w:rPr>
        <w:t>ым</w:t>
      </w:r>
      <w:r w:rsidR="00AC0F76" w:rsidRPr="00AC0F76">
        <w:rPr>
          <w:sz w:val="28"/>
          <w:szCs w:val="28"/>
        </w:rPr>
        <w:t xml:space="preserve"> закон</w:t>
      </w:r>
      <w:r w:rsidR="00AC0F76">
        <w:rPr>
          <w:sz w:val="28"/>
          <w:szCs w:val="28"/>
        </w:rPr>
        <w:t>ом</w:t>
      </w:r>
      <w:r w:rsidR="00AC0F76" w:rsidRPr="00AC0F76">
        <w:rPr>
          <w:sz w:val="28"/>
          <w:szCs w:val="28"/>
        </w:rPr>
        <w:t xml:space="preserve"> от 2 марта 2007 года № 25-ФЗ «О муниципальной службе в Российской Федерации</w:t>
      </w:r>
      <w:r w:rsidR="00AC0F76">
        <w:rPr>
          <w:sz w:val="28"/>
          <w:szCs w:val="28"/>
        </w:rPr>
        <w:t>»</w:t>
      </w:r>
      <w:r w:rsidR="00E97ACA">
        <w:rPr>
          <w:sz w:val="28"/>
          <w:szCs w:val="28"/>
        </w:rPr>
        <w:t>,</w:t>
      </w:r>
      <w:r w:rsidR="00E97ACA" w:rsidRPr="00CA3CF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E97ACA" w:rsidRPr="00E97ACA">
        <w:rPr>
          <w:sz w:val="28"/>
          <w:szCs w:val="28"/>
        </w:rPr>
        <w:t>распоряжением Губернатора Ярославской области от 24.01.2012 № 18-р «О порядке уведомления представителя нанимателя об иной оплачиваемой работе»</w:t>
      </w:r>
      <w:r w:rsidR="00E97ACA">
        <w:rPr>
          <w:sz w:val="28"/>
          <w:szCs w:val="28"/>
        </w:rPr>
        <w:t xml:space="preserve">, на основании протеста </w:t>
      </w:r>
      <w:proofErr w:type="spellStart"/>
      <w:r w:rsidR="00E97ACA">
        <w:rPr>
          <w:sz w:val="28"/>
          <w:szCs w:val="28"/>
        </w:rPr>
        <w:t>Тутаевской</w:t>
      </w:r>
      <w:proofErr w:type="spellEnd"/>
      <w:r w:rsidR="00E97ACA">
        <w:rPr>
          <w:sz w:val="28"/>
          <w:szCs w:val="28"/>
        </w:rPr>
        <w:t xml:space="preserve"> межрайонной прокуратуры от 31.08.2023 № 4-9-2022</w:t>
      </w:r>
      <w:proofErr w:type="gramEnd"/>
    </w:p>
    <w:p w:rsidR="008E38A4" w:rsidRDefault="008E38A4" w:rsidP="00E97ACA">
      <w:pPr>
        <w:tabs>
          <w:tab w:val="left" w:pos="720"/>
          <w:tab w:val="left" w:pos="1260"/>
          <w:tab w:val="left" w:pos="1620"/>
        </w:tabs>
        <w:autoSpaceDE w:val="0"/>
        <w:jc w:val="both"/>
        <w:rPr>
          <w:sz w:val="28"/>
          <w:szCs w:val="28"/>
        </w:rPr>
      </w:pPr>
    </w:p>
    <w:p w:rsidR="008F0BEC" w:rsidRDefault="00487446" w:rsidP="00E97A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76">
        <w:rPr>
          <w:sz w:val="28"/>
          <w:szCs w:val="28"/>
        </w:rPr>
        <w:t xml:space="preserve">Внести </w:t>
      </w:r>
      <w:r w:rsidR="00E97ACA">
        <w:rPr>
          <w:sz w:val="28"/>
          <w:szCs w:val="28"/>
        </w:rPr>
        <w:t>изменения</w:t>
      </w:r>
      <w:r w:rsidR="00AC0F76">
        <w:rPr>
          <w:sz w:val="28"/>
          <w:szCs w:val="28"/>
        </w:rPr>
        <w:t xml:space="preserve"> в</w:t>
      </w:r>
      <w:r w:rsidR="00E97ACA">
        <w:rPr>
          <w:sz w:val="28"/>
          <w:szCs w:val="28"/>
        </w:rPr>
        <w:t xml:space="preserve"> Порядок</w:t>
      </w:r>
      <w:r w:rsidR="00AC0F76">
        <w:rPr>
          <w:sz w:val="28"/>
          <w:szCs w:val="28"/>
        </w:rPr>
        <w:t xml:space="preserve"> </w:t>
      </w:r>
      <w:r w:rsidR="00E97ACA">
        <w:rPr>
          <w:sz w:val="28"/>
          <w:szCs w:val="28"/>
        </w:rPr>
        <w:t xml:space="preserve">уведомления </w:t>
      </w:r>
      <w:r w:rsidR="00E97ACA" w:rsidRPr="00E97ACA">
        <w:rPr>
          <w:sz w:val="28"/>
          <w:szCs w:val="28"/>
        </w:rPr>
        <w:t>представителя нанимателя (работодателя) об иной оплачиваемой работе</w:t>
      </w:r>
      <w:r w:rsidR="00E97ACA">
        <w:rPr>
          <w:sz w:val="28"/>
          <w:szCs w:val="28"/>
        </w:rPr>
        <w:t>, утвержденный распоряжением Администрации Тутаевского муниципального района</w:t>
      </w:r>
      <w:r w:rsidR="00AC0F76" w:rsidRPr="00AC0F76">
        <w:rPr>
          <w:sz w:val="28"/>
          <w:szCs w:val="28"/>
        </w:rPr>
        <w:t xml:space="preserve"> от 13.02.2012</w:t>
      </w:r>
      <w:r w:rsidR="00AC0F76"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№ 04 «О порядке уведомления представителя нанимателя (работодателя)  об иной оплачиваемой работе»</w:t>
      </w:r>
      <w:r w:rsidR="00D60204">
        <w:rPr>
          <w:sz w:val="28"/>
          <w:szCs w:val="28"/>
        </w:rPr>
        <w:t>,</w:t>
      </w:r>
      <w:r w:rsidR="00AC0F76">
        <w:rPr>
          <w:sz w:val="28"/>
          <w:szCs w:val="28"/>
        </w:rPr>
        <w:t xml:space="preserve"> </w:t>
      </w:r>
      <w:r w:rsidR="00E97ACA">
        <w:rPr>
          <w:sz w:val="28"/>
          <w:szCs w:val="28"/>
        </w:rPr>
        <w:t>изложив его в новой редакции согласно приложению к настоящему распоряжению.</w:t>
      </w:r>
    </w:p>
    <w:p w:rsidR="00E97ACA" w:rsidRDefault="00E97ACA" w:rsidP="00E97A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</w:t>
      </w:r>
      <w:r w:rsidRPr="00E97AC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от 26.02.2017 № 07-р «</w:t>
      </w:r>
      <w:r w:rsidRPr="00E97ACA">
        <w:rPr>
          <w:sz w:val="28"/>
          <w:szCs w:val="28"/>
        </w:rPr>
        <w:t>О внесении изменений в распоряжение Администрации ТМР от 13.02.2012</w:t>
      </w:r>
      <w:r>
        <w:rPr>
          <w:sz w:val="28"/>
          <w:szCs w:val="28"/>
        </w:rPr>
        <w:t xml:space="preserve"> </w:t>
      </w:r>
      <w:r w:rsidRPr="00E97ACA">
        <w:rPr>
          <w:sz w:val="28"/>
          <w:szCs w:val="28"/>
        </w:rPr>
        <w:t>№ 04 «О порядке уведомления представителя нанимателя (работодателя)  об иной оплачиваемой работе</w:t>
      </w:r>
      <w:r>
        <w:rPr>
          <w:sz w:val="28"/>
          <w:szCs w:val="28"/>
        </w:rPr>
        <w:t>».</w:t>
      </w:r>
    </w:p>
    <w:p w:rsidR="00037832" w:rsidRDefault="00E97ACA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2B1">
        <w:rPr>
          <w:sz w:val="28"/>
          <w:szCs w:val="28"/>
        </w:rPr>
        <w:t xml:space="preserve">. </w:t>
      </w:r>
      <w:proofErr w:type="gramStart"/>
      <w:r w:rsidR="00487446" w:rsidRPr="00487446">
        <w:rPr>
          <w:sz w:val="28"/>
          <w:szCs w:val="28"/>
        </w:rPr>
        <w:t>Контроль за</w:t>
      </w:r>
      <w:proofErr w:type="gramEnd"/>
      <w:r w:rsidR="00487446" w:rsidRPr="00487446">
        <w:rPr>
          <w:sz w:val="28"/>
          <w:szCs w:val="28"/>
        </w:rPr>
        <w:t xml:space="preserve"> исполнением </w:t>
      </w:r>
      <w:r w:rsidR="00487446">
        <w:rPr>
          <w:sz w:val="28"/>
          <w:szCs w:val="28"/>
        </w:rPr>
        <w:t>настоящего</w:t>
      </w:r>
      <w:r w:rsidR="00487446" w:rsidRPr="00487446">
        <w:rPr>
          <w:sz w:val="28"/>
          <w:szCs w:val="28"/>
        </w:rPr>
        <w:t xml:space="preserve"> распоряжения </w:t>
      </w:r>
      <w:r w:rsidR="00E470E3">
        <w:rPr>
          <w:sz w:val="28"/>
          <w:szCs w:val="28"/>
        </w:rPr>
        <w:t>возложить на управляющего делами Администрации Тутаевского муниципального района С.В. Балясникову</w:t>
      </w:r>
      <w:r w:rsidR="00037832">
        <w:rPr>
          <w:sz w:val="28"/>
          <w:szCs w:val="28"/>
        </w:rPr>
        <w:t>.</w:t>
      </w:r>
    </w:p>
    <w:p w:rsidR="00C83C0E" w:rsidRDefault="00E97ACA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C0E">
        <w:rPr>
          <w:sz w:val="28"/>
          <w:szCs w:val="28"/>
        </w:rPr>
        <w:t>. Настоящее распоряжение вступает в силу со дня его подписания.</w:t>
      </w:r>
    </w:p>
    <w:p w:rsidR="00C83C0E" w:rsidRDefault="00C83C0E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C83C0E" w:rsidRDefault="00C83C0E"/>
    <w:p w:rsidR="00481A83" w:rsidRPr="00481A83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Глав</w:t>
      </w:r>
      <w:r w:rsidR="005B6DDE">
        <w:rPr>
          <w:szCs w:val="28"/>
        </w:rPr>
        <w:t>а</w:t>
      </w:r>
      <w:r w:rsidR="00022572">
        <w:rPr>
          <w:szCs w:val="28"/>
        </w:rPr>
        <w:t xml:space="preserve"> </w:t>
      </w:r>
      <w:r w:rsidRPr="00481A83">
        <w:rPr>
          <w:szCs w:val="28"/>
        </w:rPr>
        <w:t>Тутаевского</w:t>
      </w:r>
    </w:p>
    <w:p w:rsidR="00563F96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муниципального района</w:t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="00E92F7E">
        <w:rPr>
          <w:szCs w:val="28"/>
        </w:rPr>
        <w:tab/>
        <w:t xml:space="preserve">    </w:t>
      </w:r>
      <w:r w:rsidR="00DA5005">
        <w:rPr>
          <w:szCs w:val="28"/>
        </w:rPr>
        <w:t xml:space="preserve">      </w:t>
      </w:r>
      <w:r w:rsidR="00E92F7E">
        <w:rPr>
          <w:szCs w:val="28"/>
        </w:rPr>
        <w:t xml:space="preserve">     </w:t>
      </w:r>
      <w:r w:rsidR="00E97ACA">
        <w:rPr>
          <w:szCs w:val="28"/>
        </w:rPr>
        <w:t>О.В. Низова</w:t>
      </w:r>
    </w:p>
    <w:p w:rsidR="003209EE" w:rsidRDefault="003209EE" w:rsidP="003209EE">
      <w:pPr>
        <w:tabs>
          <w:tab w:val="left" w:pos="5910"/>
          <w:tab w:val="right" w:pos="9638"/>
        </w:tabs>
        <w:suppressAutoHyphens w:val="0"/>
        <w:rPr>
          <w:rFonts w:eastAsia="Calibri"/>
          <w:color w:val="000000"/>
          <w:sz w:val="28"/>
          <w:lang w:eastAsia="en-US"/>
        </w:rPr>
      </w:pPr>
    </w:p>
    <w:p w:rsidR="003209EE" w:rsidRDefault="003209EE" w:rsidP="003209EE">
      <w:pPr>
        <w:tabs>
          <w:tab w:val="left" w:pos="5910"/>
          <w:tab w:val="right" w:pos="9638"/>
        </w:tabs>
        <w:suppressAutoHyphens w:val="0"/>
        <w:rPr>
          <w:rFonts w:eastAsia="Calibri"/>
          <w:color w:val="000000"/>
          <w:sz w:val="28"/>
          <w:lang w:eastAsia="en-US"/>
        </w:rPr>
      </w:pPr>
    </w:p>
    <w:p w:rsidR="003209EE" w:rsidRDefault="003209EE" w:rsidP="003209EE">
      <w:pPr>
        <w:tabs>
          <w:tab w:val="left" w:pos="5910"/>
          <w:tab w:val="right" w:pos="9638"/>
        </w:tabs>
        <w:suppressAutoHyphens w:val="0"/>
        <w:rPr>
          <w:rFonts w:eastAsia="Calibri"/>
          <w:color w:val="000000"/>
          <w:sz w:val="28"/>
          <w:lang w:eastAsia="en-US"/>
        </w:rPr>
      </w:pPr>
    </w:p>
    <w:p w:rsidR="003209EE" w:rsidRDefault="003209EE" w:rsidP="003209EE">
      <w:pPr>
        <w:tabs>
          <w:tab w:val="left" w:pos="5910"/>
          <w:tab w:val="right" w:pos="9638"/>
        </w:tabs>
        <w:suppressAutoHyphens w:val="0"/>
        <w:rPr>
          <w:rFonts w:eastAsia="Calibri"/>
          <w:color w:val="000000"/>
          <w:sz w:val="28"/>
          <w:lang w:eastAsia="en-US"/>
        </w:rPr>
      </w:pPr>
    </w:p>
    <w:p w:rsidR="003209EE" w:rsidRDefault="003209EE" w:rsidP="003209EE">
      <w:pPr>
        <w:tabs>
          <w:tab w:val="left" w:pos="5910"/>
          <w:tab w:val="right" w:pos="9638"/>
        </w:tabs>
        <w:suppressAutoHyphens w:val="0"/>
        <w:rPr>
          <w:rFonts w:eastAsia="Calibri"/>
          <w:color w:val="000000"/>
          <w:sz w:val="28"/>
          <w:lang w:eastAsia="en-US"/>
        </w:rPr>
      </w:pPr>
    </w:p>
    <w:p w:rsidR="00CA3CF1" w:rsidRDefault="00926FF2" w:rsidP="003209EE">
      <w:pPr>
        <w:tabs>
          <w:tab w:val="left" w:pos="5910"/>
          <w:tab w:val="right" w:pos="9638"/>
        </w:tabs>
        <w:suppressAutoHyphens w:val="0"/>
        <w:jc w:val="right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lastRenderedPageBreak/>
        <w:t>Приложение</w:t>
      </w:r>
    </w:p>
    <w:p w:rsidR="00926FF2" w:rsidRPr="00926FF2" w:rsidRDefault="00926FF2" w:rsidP="00CA3CF1">
      <w:pPr>
        <w:tabs>
          <w:tab w:val="left" w:pos="5910"/>
          <w:tab w:val="right" w:pos="9638"/>
        </w:tabs>
        <w:suppressAutoHyphens w:val="0"/>
        <w:jc w:val="right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 к распоряжению Администрации ТМР </w:t>
      </w:r>
    </w:p>
    <w:p w:rsidR="00926FF2" w:rsidRPr="00926FF2" w:rsidRDefault="0084592D" w:rsidP="00926FF2">
      <w:pPr>
        <w:suppressAutoHyphens w:val="0"/>
        <w:jc w:val="right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от 14.09.2023  № 32а-р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8"/>
          <w:lang w:eastAsia="en-US"/>
        </w:rPr>
      </w:pP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Порядок уведомления 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 представителя нанимателя (работодателя) 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>об иной оплачиваемой работе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8"/>
          <w:lang w:eastAsia="en-US"/>
        </w:rPr>
      </w:pPr>
      <w:bookmarkStart w:id="0" w:name="_GoBack"/>
      <w:bookmarkEnd w:id="0"/>
    </w:p>
    <w:p w:rsidR="00926FF2" w:rsidRPr="00926FF2" w:rsidRDefault="00B7292D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1.</w:t>
      </w:r>
      <w:r w:rsidR="00926FF2" w:rsidRPr="00926FF2">
        <w:rPr>
          <w:rFonts w:eastAsia="Calibri"/>
          <w:color w:val="000000"/>
          <w:sz w:val="28"/>
          <w:lang w:eastAsia="en-US"/>
        </w:rPr>
        <w:t>Настоящий Порядок регламентирует процедуру уведомления муниципальными служащими, замещающими должности муниципальной службы в Администрации Тутаевского муниципального района и ее структурных подразделениях,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926FF2" w:rsidRPr="00926FF2" w:rsidRDefault="00B7292D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2.</w:t>
      </w:r>
      <w:r w:rsidR="00926FF2">
        <w:rPr>
          <w:rFonts w:eastAsia="Calibri"/>
          <w:color w:val="000000"/>
          <w:sz w:val="28"/>
          <w:lang w:eastAsia="en-US"/>
        </w:rPr>
        <w:t>В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 соответствии с частью 2 статьи 11 Федерального закона от 2 марта 2007 года № 25-ФЗ «О муниципальной службе в Российской Федерации» </w:t>
      </w:r>
      <w:r>
        <w:rPr>
          <w:rFonts w:eastAsia="Calibri"/>
          <w:color w:val="000000"/>
          <w:sz w:val="28"/>
          <w:lang w:eastAsia="en-US"/>
        </w:rPr>
        <w:t>м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="00926FF2" w:rsidRPr="00926FF2">
        <w:rPr>
          <w:rFonts w:eastAsia="Calibri"/>
          <w:color w:val="000000"/>
          <w:sz w:val="28"/>
          <w:lang w:eastAsia="en-US"/>
        </w:rPr>
        <w:t>и</w:t>
      </w:r>
      <w:proofErr w:type="gramEnd"/>
      <w:r w:rsidR="00926FF2" w:rsidRPr="00926FF2">
        <w:rPr>
          <w:rFonts w:eastAsia="Calibri"/>
          <w:color w:val="000000"/>
          <w:sz w:val="28"/>
          <w:lang w:eastAsia="en-US"/>
        </w:rPr>
        <w:t xml:space="preserve"> если иное не предусмотрено Федеральным </w:t>
      </w:r>
      <w:hyperlink r:id="rId10" w:history="1">
        <w:r w:rsidR="00926FF2" w:rsidRPr="00B7292D">
          <w:rPr>
            <w:rStyle w:val="ac"/>
            <w:rFonts w:eastAsia="Calibri"/>
            <w:color w:val="auto"/>
            <w:sz w:val="28"/>
            <w:u w:val="none"/>
            <w:lang w:eastAsia="en-US"/>
          </w:rPr>
          <w:t>законом</w:t>
        </w:r>
      </w:hyperlink>
      <w:r w:rsidR="003209EE" w:rsidRPr="003209EE">
        <w:rPr>
          <w:rFonts w:eastAsia="Calibri"/>
          <w:color w:val="000000"/>
          <w:sz w:val="28"/>
          <w:lang w:eastAsia="en-US"/>
        </w:rPr>
        <w:t xml:space="preserve"> </w:t>
      </w:r>
      <w:r w:rsidR="003209EE" w:rsidRPr="003209EE">
        <w:rPr>
          <w:rFonts w:eastAsia="Calibri"/>
          <w:sz w:val="28"/>
          <w:lang w:eastAsia="en-US"/>
        </w:rPr>
        <w:t>от 2 марта 2007 года № 25-ФЗ «О муниципальной службе в Российской Федерации»</w:t>
      </w:r>
      <w:r w:rsidR="00926FF2" w:rsidRPr="00B7292D">
        <w:rPr>
          <w:rFonts w:eastAsia="Calibri"/>
          <w:sz w:val="28"/>
          <w:lang w:eastAsia="en-US"/>
        </w:rPr>
        <w:t>.</w:t>
      </w:r>
    </w:p>
    <w:p w:rsidR="00B7292D" w:rsidRPr="00B7292D" w:rsidRDefault="00B7292D" w:rsidP="00B7292D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3.</w:t>
      </w:r>
      <w:r w:rsidRPr="00B7292D">
        <w:rPr>
          <w:rFonts w:eastAsia="Calibri"/>
          <w:color w:val="000000"/>
          <w:sz w:val="28"/>
          <w:lang w:eastAsia="en-US"/>
        </w:rPr>
        <w:t>Уведомление о намерении выполнять иную оплачиваемую работу (далее - уведомл</w:t>
      </w:r>
      <w:r w:rsidR="00A27103">
        <w:rPr>
          <w:rFonts w:eastAsia="Calibri"/>
          <w:color w:val="000000"/>
          <w:sz w:val="28"/>
          <w:lang w:eastAsia="en-US"/>
        </w:rPr>
        <w:t>ение) представляется муниципальным</w:t>
      </w:r>
      <w:r w:rsidRPr="00B7292D">
        <w:rPr>
          <w:rFonts w:eastAsia="Calibri"/>
          <w:color w:val="000000"/>
          <w:sz w:val="28"/>
          <w:lang w:eastAsia="en-US"/>
        </w:rPr>
        <w:t xml:space="preserve"> служащим до начала выполнения такой работы. </w:t>
      </w:r>
      <w:r w:rsidR="00A27103">
        <w:rPr>
          <w:rFonts w:eastAsia="Calibri"/>
          <w:color w:val="000000"/>
          <w:sz w:val="28"/>
          <w:lang w:eastAsia="en-US"/>
        </w:rPr>
        <w:t xml:space="preserve"> </w:t>
      </w:r>
      <w:r w:rsidRPr="00B7292D">
        <w:rPr>
          <w:rFonts w:eastAsia="Calibri"/>
          <w:color w:val="000000"/>
          <w:sz w:val="28"/>
          <w:lang w:eastAsia="en-US"/>
        </w:rPr>
        <w:t xml:space="preserve">В целях обеспечения рассмотрения уведомления на предмет наличия (отсутствия) конфликта интересов </w:t>
      </w:r>
      <w:proofErr w:type="gramStart"/>
      <w:r w:rsidRPr="00B7292D">
        <w:rPr>
          <w:rFonts w:eastAsia="Calibri"/>
          <w:color w:val="000000"/>
          <w:sz w:val="28"/>
          <w:lang w:eastAsia="en-US"/>
        </w:rPr>
        <w:t>уведомление</w:t>
      </w:r>
      <w:proofErr w:type="gramEnd"/>
      <w:r w:rsidRPr="00B7292D">
        <w:rPr>
          <w:rFonts w:eastAsia="Calibri"/>
          <w:color w:val="000000"/>
          <w:sz w:val="28"/>
          <w:lang w:eastAsia="en-US"/>
        </w:rPr>
        <w:t xml:space="preserve"> </w:t>
      </w:r>
      <w:r w:rsidR="003209EE">
        <w:rPr>
          <w:rFonts w:eastAsia="Calibri"/>
          <w:color w:val="000000"/>
          <w:sz w:val="28"/>
          <w:lang w:eastAsia="en-US"/>
        </w:rPr>
        <w:t>как правило представляется</w:t>
      </w:r>
      <w:r w:rsidRPr="00B7292D">
        <w:rPr>
          <w:rFonts w:eastAsia="Calibri"/>
          <w:color w:val="000000"/>
          <w:sz w:val="28"/>
          <w:lang w:eastAsia="en-US"/>
        </w:rPr>
        <w:t xml:space="preserve"> не менее чем за 5 рабочих дней до начала выполнения иной оплачиваемой работы.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 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</w:t>
      </w:r>
      <w:proofErr w:type="gramStart"/>
      <w:r w:rsidRPr="00926FF2">
        <w:rPr>
          <w:rFonts w:eastAsia="Calibri"/>
          <w:color w:val="000000"/>
          <w:sz w:val="28"/>
          <w:lang w:eastAsia="en-US"/>
        </w:rPr>
        <w:t>этом</w:t>
      </w:r>
      <w:proofErr w:type="gramEnd"/>
      <w:r w:rsidRPr="00926FF2">
        <w:rPr>
          <w:rFonts w:eastAsia="Calibri"/>
          <w:color w:val="000000"/>
          <w:sz w:val="28"/>
          <w:lang w:eastAsia="en-US"/>
        </w:rPr>
        <w:t xml:space="preserve">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4.</w:t>
      </w:r>
      <w:r w:rsidR="00926FF2" w:rsidRPr="00926FF2">
        <w:rPr>
          <w:rFonts w:eastAsia="Calibri"/>
          <w:color w:val="000000"/>
          <w:sz w:val="28"/>
          <w:lang w:eastAsia="en-US"/>
        </w:rPr>
        <w:t>Уведомление подается на имя представителя нанимателя (работодателя) по форме согласно приложению 1 к данному Порядку и представляется: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>- муниципальными служащими, для которых представителем нанимателя является Глава Тутаевского муниципального района,  -</w:t>
      </w:r>
      <w:r w:rsidR="00CA3CF1">
        <w:rPr>
          <w:rFonts w:eastAsia="Calibri"/>
          <w:color w:val="000000"/>
          <w:sz w:val="28"/>
          <w:lang w:eastAsia="en-US"/>
        </w:rPr>
        <w:t xml:space="preserve"> должностному лицу</w:t>
      </w:r>
      <w:r w:rsidRPr="00926FF2">
        <w:rPr>
          <w:rFonts w:eastAsia="Calibri"/>
          <w:color w:val="000000"/>
          <w:sz w:val="28"/>
          <w:lang w:eastAsia="en-US"/>
        </w:rPr>
        <w:t xml:space="preserve"> </w:t>
      </w:r>
      <w:r w:rsidR="00A27103">
        <w:rPr>
          <w:rFonts w:eastAsia="Calibri"/>
          <w:color w:val="000000"/>
          <w:sz w:val="28"/>
          <w:lang w:eastAsia="en-US"/>
        </w:rPr>
        <w:t>отдел</w:t>
      </w:r>
      <w:r w:rsidR="00CA3CF1">
        <w:rPr>
          <w:rFonts w:eastAsia="Calibri"/>
          <w:color w:val="000000"/>
          <w:sz w:val="28"/>
          <w:lang w:eastAsia="en-US"/>
        </w:rPr>
        <w:t>а</w:t>
      </w:r>
      <w:r w:rsidR="00A27103">
        <w:rPr>
          <w:rFonts w:eastAsia="Calibri"/>
          <w:color w:val="000000"/>
          <w:sz w:val="28"/>
          <w:lang w:eastAsia="en-US"/>
        </w:rPr>
        <w:t xml:space="preserve"> кадров административно-правового управления </w:t>
      </w:r>
      <w:r w:rsidRPr="00926FF2">
        <w:rPr>
          <w:rFonts w:eastAsia="Calibri"/>
          <w:color w:val="000000"/>
          <w:sz w:val="28"/>
          <w:lang w:eastAsia="en-US"/>
        </w:rPr>
        <w:t>Администрации Ту</w:t>
      </w:r>
      <w:r w:rsidR="00A27103">
        <w:rPr>
          <w:rFonts w:eastAsia="Calibri"/>
          <w:color w:val="000000"/>
          <w:sz w:val="28"/>
          <w:lang w:eastAsia="en-US"/>
        </w:rPr>
        <w:t>таевского муниципального района</w:t>
      </w:r>
      <w:r w:rsidRPr="00926FF2">
        <w:rPr>
          <w:rFonts w:eastAsia="Calibri"/>
          <w:color w:val="000000"/>
          <w:sz w:val="28"/>
          <w:lang w:eastAsia="en-US"/>
        </w:rPr>
        <w:t>;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- муниципальными служащими, для которых представителем нанимателя является руководитель структурного подразделения Администрации Тутаевского муниципального района, наделенного правами юридического лица, - сотруднику соответствующего структурного подразделения, в компетенцию которого входят вопросы кадрового учета. 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5.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В </w:t>
      </w:r>
      <w:proofErr w:type="gramStart"/>
      <w:r w:rsidR="00926FF2" w:rsidRPr="00926FF2">
        <w:rPr>
          <w:rFonts w:eastAsia="Calibri"/>
          <w:color w:val="000000"/>
          <w:sz w:val="28"/>
          <w:lang w:eastAsia="en-US"/>
        </w:rPr>
        <w:t>уведомлении</w:t>
      </w:r>
      <w:proofErr w:type="gramEnd"/>
      <w:r w:rsidR="00926FF2" w:rsidRPr="00926FF2">
        <w:rPr>
          <w:rFonts w:eastAsia="Calibri"/>
          <w:color w:val="000000"/>
          <w:sz w:val="28"/>
          <w:lang w:eastAsia="en-US"/>
        </w:rPr>
        <w:t xml:space="preserve"> в обязательном порядке должна содержаться следующая информация: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5.1.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Основание выполнения оплачиваемой работы (трудовой договор, гражданско-правовой договор, иное соглашение) и сведения  об основных обязанностях муниципального служащего при ее выполнении. 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5.2.</w:t>
      </w:r>
      <w:r w:rsidR="00926FF2" w:rsidRPr="00926FF2">
        <w:rPr>
          <w:rFonts w:eastAsia="Calibri"/>
          <w:color w:val="000000"/>
          <w:sz w:val="28"/>
          <w:lang w:eastAsia="en-US"/>
        </w:rPr>
        <w:t>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5.3.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Дата выполнения иной оплачиваемой работы и (или) период, в течение которого планируется ее выполнение. 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6.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Уведомления регистрируются должностными лицами, указанными в </w:t>
      </w:r>
      <w:proofErr w:type="gramStart"/>
      <w:r w:rsidR="00926FF2" w:rsidRPr="00926FF2">
        <w:rPr>
          <w:rFonts w:eastAsia="Calibri"/>
          <w:color w:val="000000"/>
          <w:sz w:val="28"/>
          <w:lang w:eastAsia="en-US"/>
        </w:rPr>
        <w:t>пункте</w:t>
      </w:r>
      <w:proofErr w:type="gramEnd"/>
      <w:r w:rsidR="00926FF2" w:rsidRPr="00926FF2">
        <w:rPr>
          <w:rFonts w:eastAsia="Calibri"/>
          <w:color w:val="000000"/>
          <w:sz w:val="28"/>
          <w:lang w:eastAsia="en-US"/>
        </w:rPr>
        <w:t xml:space="preserve"> 4  данного Порядка, в журнале регистрации уведомлений об иной оплачиваемой работе, форма которого приведена в приложении 2 к данному Порядку, и направляется представителю нанимателя (работодателю) для рассмотрения.    </w:t>
      </w:r>
    </w:p>
    <w:p w:rsidR="00A27103" w:rsidRPr="00A27103" w:rsidRDefault="00A27103" w:rsidP="00A27103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Копия уведомления</w:t>
      </w:r>
      <w:r w:rsidRPr="00A27103">
        <w:rPr>
          <w:rFonts w:eastAsia="Calibri"/>
          <w:color w:val="000000"/>
          <w:sz w:val="28"/>
          <w:lang w:eastAsia="en-US"/>
        </w:rPr>
        <w:t xml:space="preserve"> с отметкой о регистрации возвращается </w:t>
      </w:r>
      <w:r>
        <w:rPr>
          <w:rFonts w:eastAsia="Calibri"/>
          <w:color w:val="000000"/>
          <w:sz w:val="28"/>
          <w:lang w:eastAsia="en-US"/>
        </w:rPr>
        <w:t xml:space="preserve">муниципальному </w:t>
      </w:r>
      <w:r w:rsidRPr="00A27103">
        <w:rPr>
          <w:rFonts w:eastAsia="Calibri"/>
          <w:color w:val="000000"/>
          <w:sz w:val="28"/>
          <w:lang w:eastAsia="en-US"/>
        </w:rPr>
        <w:t>служаще</w:t>
      </w:r>
      <w:r>
        <w:rPr>
          <w:rFonts w:eastAsia="Calibri"/>
          <w:color w:val="000000"/>
          <w:sz w:val="28"/>
          <w:lang w:eastAsia="en-US"/>
        </w:rPr>
        <w:t>му, представившему уведомление.</w:t>
      </w:r>
    </w:p>
    <w:p w:rsidR="00DA5005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В </w:t>
      </w:r>
      <w:proofErr w:type="gramStart"/>
      <w:r w:rsidRPr="00926FF2">
        <w:rPr>
          <w:rFonts w:eastAsia="Calibri"/>
          <w:color w:val="000000"/>
          <w:sz w:val="28"/>
          <w:lang w:eastAsia="en-US"/>
        </w:rPr>
        <w:t>случае</w:t>
      </w:r>
      <w:proofErr w:type="gramEnd"/>
      <w:r w:rsidRPr="00926FF2">
        <w:rPr>
          <w:rFonts w:eastAsia="Calibri"/>
          <w:color w:val="000000"/>
          <w:sz w:val="28"/>
          <w:lang w:eastAsia="en-US"/>
        </w:rPr>
        <w:t xml:space="preserve">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на рассмотрение</w:t>
      </w:r>
      <w:r w:rsidR="00DA5005">
        <w:rPr>
          <w:rFonts w:eastAsia="Calibri"/>
          <w:color w:val="000000"/>
          <w:sz w:val="28"/>
          <w:lang w:eastAsia="en-US"/>
        </w:rPr>
        <w:t>:</w:t>
      </w:r>
    </w:p>
    <w:p w:rsidR="00DA5005" w:rsidRDefault="00DA5005" w:rsidP="00DA5005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-</w:t>
      </w:r>
      <w:r w:rsidR="00926FF2" w:rsidRPr="00926FF2">
        <w:rPr>
          <w:rFonts w:eastAsia="Calibri"/>
          <w:color w:val="000000"/>
          <w:sz w:val="28"/>
          <w:lang w:eastAsia="en-US"/>
        </w:rPr>
        <w:t xml:space="preserve">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</w:t>
      </w:r>
      <w:r>
        <w:rPr>
          <w:rFonts w:eastAsia="Calibri"/>
          <w:color w:val="000000"/>
          <w:sz w:val="28"/>
          <w:lang w:eastAsia="en-US"/>
        </w:rPr>
        <w:t>,</w:t>
      </w:r>
      <w:r w:rsidRPr="00DA500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A5005">
        <w:rPr>
          <w:rFonts w:eastAsia="Calibri"/>
          <w:color w:val="000000"/>
          <w:sz w:val="28"/>
          <w:lang w:eastAsia="en-US"/>
        </w:rPr>
        <w:t xml:space="preserve">если представителем нанимателя для </w:t>
      </w:r>
      <w:r>
        <w:rPr>
          <w:rFonts w:eastAsia="Calibri"/>
          <w:color w:val="000000"/>
          <w:sz w:val="28"/>
          <w:lang w:eastAsia="en-US"/>
        </w:rPr>
        <w:t xml:space="preserve">муниципального </w:t>
      </w:r>
      <w:r w:rsidRPr="00DA5005">
        <w:rPr>
          <w:rFonts w:eastAsia="Calibri"/>
          <w:color w:val="000000"/>
          <w:sz w:val="28"/>
          <w:lang w:eastAsia="en-US"/>
        </w:rPr>
        <w:t>служащего является Глава Тутаевского муниципального района</w:t>
      </w:r>
      <w:r>
        <w:rPr>
          <w:rFonts w:eastAsia="Calibri"/>
          <w:color w:val="000000"/>
          <w:sz w:val="28"/>
          <w:lang w:eastAsia="en-US"/>
        </w:rPr>
        <w:t>;</w:t>
      </w:r>
    </w:p>
    <w:p w:rsidR="00926FF2" w:rsidRPr="00926FF2" w:rsidRDefault="00DA5005" w:rsidP="00DA5005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-</w:t>
      </w:r>
      <w:r w:rsidRPr="00DA5005">
        <w:rPr>
          <w:rFonts w:eastAsia="Calibri"/>
          <w:color w:val="000000"/>
          <w:sz w:val="28"/>
          <w:lang w:eastAsia="en-US"/>
        </w:rPr>
        <w:t xml:space="preserve"> комиссии по соблюдению требований к служебному поведению муниципальных служащих</w:t>
      </w:r>
      <w:r>
        <w:rPr>
          <w:rFonts w:eastAsia="Calibri"/>
          <w:color w:val="000000"/>
          <w:sz w:val="28"/>
          <w:lang w:eastAsia="en-US"/>
        </w:rPr>
        <w:t xml:space="preserve"> </w:t>
      </w:r>
      <w:r w:rsidRPr="00DA5005">
        <w:rPr>
          <w:rFonts w:eastAsia="Calibri"/>
          <w:color w:val="000000"/>
          <w:sz w:val="28"/>
          <w:lang w:eastAsia="en-US"/>
        </w:rPr>
        <w:t>структурного подразделения Администрации Тутаевского муниципального района, наделенного правами юридического лица</w:t>
      </w:r>
      <w:r>
        <w:rPr>
          <w:rFonts w:eastAsia="Calibri"/>
          <w:color w:val="000000"/>
          <w:sz w:val="28"/>
          <w:lang w:eastAsia="en-US"/>
        </w:rPr>
        <w:t>,</w:t>
      </w:r>
      <w:r w:rsidRPr="00DA5005">
        <w:rPr>
          <w:rFonts w:eastAsia="Calibri"/>
          <w:color w:val="000000"/>
          <w:sz w:val="28"/>
          <w:lang w:eastAsia="en-US"/>
        </w:rPr>
        <w:t xml:space="preserve"> </w:t>
      </w:r>
      <w:r>
        <w:rPr>
          <w:rFonts w:eastAsia="Calibri"/>
          <w:color w:val="000000"/>
          <w:sz w:val="28"/>
          <w:lang w:eastAsia="en-US"/>
        </w:rPr>
        <w:t xml:space="preserve">если </w:t>
      </w:r>
      <w:r w:rsidRPr="00DA5005">
        <w:rPr>
          <w:rFonts w:eastAsia="Calibri"/>
          <w:color w:val="000000"/>
          <w:sz w:val="28"/>
          <w:lang w:eastAsia="en-US"/>
        </w:rPr>
        <w:t xml:space="preserve">представителем нанимателя </w:t>
      </w:r>
      <w:r>
        <w:rPr>
          <w:rFonts w:eastAsia="Calibri"/>
          <w:color w:val="000000"/>
          <w:sz w:val="28"/>
          <w:lang w:eastAsia="en-US"/>
        </w:rPr>
        <w:t xml:space="preserve">для муниципального служащего </w:t>
      </w:r>
      <w:r w:rsidRPr="00DA5005">
        <w:rPr>
          <w:rFonts w:eastAsia="Calibri"/>
          <w:color w:val="000000"/>
          <w:sz w:val="28"/>
          <w:lang w:eastAsia="en-US"/>
        </w:rPr>
        <w:t>является руководитель структурного подразделения Администрации Тутаевского муниципального района, наделенного правами юридического лица</w:t>
      </w:r>
      <w:r>
        <w:rPr>
          <w:rFonts w:eastAsia="Calibri"/>
          <w:color w:val="000000"/>
          <w:sz w:val="28"/>
          <w:lang w:eastAsia="en-US"/>
        </w:rPr>
        <w:t>.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>Ра</w:t>
      </w:r>
      <w:r w:rsidR="00CA3CF1">
        <w:rPr>
          <w:rFonts w:eastAsia="Calibri"/>
          <w:color w:val="000000"/>
          <w:sz w:val="28"/>
          <w:lang w:eastAsia="en-US"/>
        </w:rPr>
        <w:t>ссмотрение уведомлений указанными комиссиями</w:t>
      </w:r>
      <w:r w:rsidRPr="00926FF2">
        <w:rPr>
          <w:rFonts w:eastAsia="Calibri"/>
          <w:color w:val="000000"/>
          <w:sz w:val="28"/>
          <w:lang w:eastAsia="en-US"/>
        </w:rPr>
        <w:t xml:space="preserve"> осуществляется в </w:t>
      </w:r>
      <w:proofErr w:type="gramStart"/>
      <w:r w:rsidRPr="00926FF2">
        <w:rPr>
          <w:rFonts w:eastAsia="Calibri"/>
          <w:color w:val="000000"/>
          <w:sz w:val="28"/>
          <w:lang w:eastAsia="en-US"/>
        </w:rPr>
        <w:t>порядке</w:t>
      </w:r>
      <w:proofErr w:type="gramEnd"/>
      <w:r w:rsidRPr="00926FF2">
        <w:rPr>
          <w:rFonts w:eastAsia="Calibri"/>
          <w:color w:val="000000"/>
          <w:sz w:val="28"/>
          <w:lang w:eastAsia="en-US"/>
        </w:rPr>
        <w:t>, установленном Администрацией Тутаевского муниципального района.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После рассмотрения уведомление приобщается к личному делу муниципального служащего. </w:t>
      </w:r>
    </w:p>
    <w:p w:rsidR="00926FF2" w:rsidRPr="00926FF2" w:rsidRDefault="00A27103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7.</w:t>
      </w:r>
      <w:r w:rsidR="00926FF2" w:rsidRPr="00926FF2">
        <w:rPr>
          <w:rFonts w:eastAsia="Calibri"/>
          <w:color w:val="000000"/>
          <w:sz w:val="28"/>
          <w:lang w:eastAsia="en-US"/>
        </w:rPr>
        <w:t>При выполнении иной оплачиваемой работы муниципальный служащий обязуется соблюдать требования статьи 14 Федерального закона от 2 марта 2007 года № 25-ФЗ «О муниципальной службе в Российской Федерации».</w:t>
      </w:r>
    </w:p>
    <w:p w:rsidR="00926FF2" w:rsidRPr="00926FF2" w:rsidRDefault="00926FF2" w:rsidP="00926FF2">
      <w:pPr>
        <w:suppressAutoHyphens w:val="0"/>
        <w:ind w:firstLine="709"/>
        <w:jc w:val="both"/>
        <w:rPr>
          <w:rFonts w:eastAsia="Calibri"/>
          <w:color w:val="000000"/>
          <w:sz w:val="28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8"/>
          <w:lang w:eastAsia="en-US"/>
        </w:rPr>
      </w:pPr>
    </w:p>
    <w:p w:rsidR="00926FF2" w:rsidRPr="00926FF2" w:rsidRDefault="00926FF2" w:rsidP="00926FF2">
      <w:pPr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Управляющий делами Администрации </w:t>
      </w:r>
    </w:p>
    <w:p w:rsidR="00DA5005" w:rsidRPr="003209EE" w:rsidRDefault="00926FF2" w:rsidP="003209EE">
      <w:pPr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926FF2">
        <w:rPr>
          <w:rFonts w:eastAsia="Calibri"/>
          <w:color w:val="000000"/>
          <w:sz w:val="28"/>
          <w:lang w:eastAsia="en-US"/>
        </w:rPr>
        <w:t xml:space="preserve">Тутаевского муниципального района                      </w:t>
      </w:r>
      <w:r>
        <w:rPr>
          <w:rFonts w:eastAsia="Calibri"/>
          <w:color w:val="000000"/>
          <w:sz w:val="28"/>
          <w:lang w:eastAsia="en-US"/>
        </w:rPr>
        <w:t xml:space="preserve">                    </w:t>
      </w:r>
      <w:r w:rsidRPr="00926FF2">
        <w:rPr>
          <w:rFonts w:eastAsia="Calibri"/>
          <w:color w:val="000000"/>
          <w:sz w:val="28"/>
          <w:lang w:eastAsia="en-US"/>
        </w:rPr>
        <w:t>С.В. Балясникова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Приложение 1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 к Порядку 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Форма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(наименование представителя нанимателя)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от  ______________________________________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</w:t>
      </w:r>
      <w:proofErr w:type="gramStart"/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(наименование должности, </w:t>
      </w:r>
      <w:proofErr w:type="gramEnd"/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</w:t>
      </w: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структурного подразделения Администрации 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Тутаевского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26FF2">
        <w:rPr>
          <w:rFonts w:eastAsia="Calibri"/>
          <w:color w:val="000000"/>
          <w:sz w:val="22"/>
          <w:szCs w:val="22"/>
          <w:lang w:eastAsia="en-US"/>
        </w:rPr>
        <w:t>муниципального района)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(фамилия, имя, отчество муниципального служащего)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УВЕДОМЛЕНИЕ 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о намерении выполнять иную оплачиваемую работу  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В </w:t>
      </w:r>
      <w:proofErr w:type="gramStart"/>
      <w:r w:rsidRPr="00926FF2">
        <w:rPr>
          <w:rFonts w:eastAsia="Calibri"/>
          <w:color w:val="000000"/>
          <w:sz w:val="22"/>
          <w:szCs w:val="22"/>
          <w:lang w:eastAsia="en-US"/>
        </w:rPr>
        <w:t>соответствии</w:t>
      </w:r>
      <w:proofErr w:type="gramEnd"/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(основание осуществления иной оплачиваемой работы; наименование организации </w:t>
      </w:r>
      <w:proofErr w:type="gramEnd"/>
    </w:p>
    <w:p w:rsidR="00926FF2" w:rsidRPr="00926FF2" w:rsidRDefault="00926FF2" w:rsidP="00926FF2">
      <w:p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либо фамилия, имя, отчество физического лица, с которым заключено соглашение </w:t>
      </w:r>
    </w:p>
    <w:p w:rsidR="00926FF2" w:rsidRPr="00926FF2" w:rsidRDefault="00926FF2" w:rsidP="00926FF2">
      <w:p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________________________________________________________________ 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о выполнении иной оплачиваемой работы)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К моим основным обязанностям при выполнении указанной деятельности относятся: 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(основные обязанности при выполнении иной оплачиваемой работы)</w:t>
      </w:r>
    </w:p>
    <w:p w:rsidR="00926FF2" w:rsidRPr="00926FF2" w:rsidRDefault="00926FF2" w:rsidP="00926FF2">
      <w:p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Выполнение иной оплачиваемой работы планируется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(дата начала выполнения иной оплачиваемой работы или период ее выполнения)</w:t>
      </w:r>
    </w:p>
    <w:p w:rsidR="00926FF2" w:rsidRPr="00926FF2" w:rsidRDefault="00926FF2" w:rsidP="00926FF2">
      <w:p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Выполнение указанной работы не повлечет за собой конфликта интересов. При выполнении  иной оплачиваемой работы обязуюсь соблюдать  требования, предусмотренные статьями 13, 14 Федерального закона от 2 марта 2007 года № 25-ФЗ «О муниципальной службе в Российской Федерации».  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________________                                            __________________________</w:t>
      </w:r>
    </w:p>
    <w:p w:rsidR="00926FF2" w:rsidRPr="00926FF2" w:rsidRDefault="00926FF2" w:rsidP="00926FF2">
      <w:pPr>
        <w:suppressAutoHyphens w:val="0"/>
        <w:ind w:firstLine="76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(дата)                                                                       (подпись муниципального служащего)   </w:t>
      </w: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D60204" w:rsidRDefault="00D60204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Приложение 2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 xml:space="preserve"> к Порядку 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Форма</w:t>
      </w:r>
    </w:p>
    <w:p w:rsidR="00926FF2" w:rsidRPr="00926FF2" w:rsidRDefault="00926FF2" w:rsidP="00926FF2">
      <w:pPr>
        <w:suppressAutoHyphens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ЖУРНАЛ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FF2">
        <w:rPr>
          <w:rFonts w:eastAsia="Calibri"/>
          <w:color w:val="000000"/>
          <w:sz w:val="22"/>
          <w:szCs w:val="22"/>
          <w:lang w:eastAsia="en-US"/>
        </w:rPr>
        <w:t>регистрации уведомлений об иной оплачиваемой работе</w:t>
      </w:r>
    </w:p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1008" w:type="dxa"/>
        <w:tblInd w:w="-10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1560"/>
        <w:gridCol w:w="1559"/>
        <w:gridCol w:w="1558"/>
        <w:gridCol w:w="1559"/>
        <w:gridCol w:w="1418"/>
        <w:gridCol w:w="1368"/>
      </w:tblGrid>
      <w:tr w:rsidR="00926FF2" w:rsidRPr="00926FF2" w:rsidTr="00926FF2"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vanish/>
                <w:color w:val="000000"/>
                <w:sz w:val="20"/>
                <w:szCs w:val="22"/>
                <w:lang w:eastAsia="en-US"/>
              </w:rPr>
              <w:t>#G0</w:t>
            </w: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>п</w:t>
            </w:r>
            <w:proofErr w:type="gramEnd"/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/п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Фамилия, имя, отчество муниципального служащего, представившего уведомление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Фамилия, имя, отчество сотрудника, принявшего уведомление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Дата направления уведомления представителю нанимателя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Решение представителя нанимателя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>Сведения о рассмотрении уведомления комиссией по урегулированию конфликта интересов</w:t>
            </w:r>
          </w:p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(в </w:t>
            </w:r>
            <w:proofErr w:type="gramStart"/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>случае</w:t>
            </w:r>
            <w:proofErr w:type="gramEnd"/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 рассмотрения)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Дата ознакомления муниципального служащего с решением комиссии </w:t>
            </w:r>
          </w:p>
        </w:tc>
      </w:tr>
      <w:tr w:rsidR="00926FF2" w:rsidRPr="00926FF2" w:rsidTr="00926F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926FF2" w:rsidRPr="00926FF2" w:rsidTr="00926F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F2" w:rsidRPr="00926FF2" w:rsidRDefault="00926FF2" w:rsidP="00926FF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926FF2" w:rsidRPr="00926FF2" w:rsidRDefault="00926FF2" w:rsidP="00926FF2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ind w:firstLine="2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6FF2" w:rsidRPr="00926FF2" w:rsidRDefault="00926FF2" w:rsidP="00926FF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C42BE" w:rsidRPr="00926FF2" w:rsidRDefault="00AC42BE" w:rsidP="00AC42BE"/>
    <w:p w:rsidR="00AC42BE" w:rsidRPr="00926FF2" w:rsidRDefault="00AC42BE" w:rsidP="00AC42BE"/>
    <w:p w:rsidR="00AC0F76" w:rsidRPr="00926FF2" w:rsidRDefault="00AC42BE" w:rsidP="00AC42BE">
      <w:pPr>
        <w:tabs>
          <w:tab w:val="left" w:pos="8220"/>
        </w:tabs>
      </w:pPr>
      <w:r w:rsidRPr="00926FF2">
        <w:tab/>
      </w:r>
    </w:p>
    <w:sectPr w:rsidR="00AC0F76" w:rsidRPr="00926FF2" w:rsidSect="003209EE">
      <w:headerReference w:type="even" r:id="rId11"/>
      <w:headerReference w:type="default" r:id="rId12"/>
      <w:pgSz w:w="11906" w:h="16838"/>
      <w:pgMar w:top="1134" w:right="850" w:bottom="426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9E" w:rsidRDefault="004D249E">
      <w:r>
        <w:separator/>
      </w:r>
    </w:p>
  </w:endnote>
  <w:endnote w:type="continuationSeparator" w:id="0">
    <w:p w:rsidR="004D249E" w:rsidRDefault="004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9E" w:rsidRDefault="004D249E">
      <w:r>
        <w:separator/>
      </w:r>
    </w:p>
  </w:footnote>
  <w:footnote w:type="continuationSeparator" w:id="0">
    <w:p w:rsidR="004D249E" w:rsidRDefault="004D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4D24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617310"/>
      <w:docPartObj>
        <w:docPartGallery w:val="Page Numbers (Top of Page)"/>
        <w:docPartUnique/>
      </w:docPartObj>
    </w:sdtPr>
    <w:sdtEndPr/>
    <w:sdtContent>
      <w:p w:rsidR="003209EE" w:rsidRDefault="003209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2D">
          <w:rPr>
            <w:noProof/>
          </w:rPr>
          <w:t>3</w:t>
        </w:r>
        <w:r>
          <w:fldChar w:fldCharType="end"/>
        </w:r>
      </w:p>
    </w:sdtContent>
  </w:sdt>
  <w:p w:rsidR="003209EE" w:rsidRDefault="003209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786"/>
    <w:multiLevelType w:val="hybridMultilevel"/>
    <w:tmpl w:val="2B1AD820"/>
    <w:lvl w:ilvl="0" w:tplc="606C99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0B35905"/>
    <w:multiLevelType w:val="hybridMultilevel"/>
    <w:tmpl w:val="BE289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9"/>
    <w:rsid w:val="00022572"/>
    <w:rsid w:val="00037832"/>
    <w:rsid w:val="00084B1D"/>
    <w:rsid w:val="000B2B11"/>
    <w:rsid w:val="000B7D5D"/>
    <w:rsid w:val="000E3DFB"/>
    <w:rsid w:val="000E6419"/>
    <w:rsid w:val="00127C9C"/>
    <w:rsid w:val="00161549"/>
    <w:rsid w:val="00183F49"/>
    <w:rsid w:val="00193294"/>
    <w:rsid w:val="001E36F8"/>
    <w:rsid w:val="00215623"/>
    <w:rsid w:val="00231B92"/>
    <w:rsid w:val="0023320C"/>
    <w:rsid w:val="0025573F"/>
    <w:rsid w:val="00274D46"/>
    <w:rsid w:val="00280909"/>
    <w:rsid w:val="002972DD"/>
    <w:rsid w:val="002B2BB1"/>
    <w:rsid w:val="002C77EB"/>
    <w:rsid w:val="0031664F"/>
    <w:rsid w:val="003209EE"/>
    <w:rsid w:val="00360B66"/>
    <w:rsid w:val="00376900"/>
    <w:rsid w:val="003937D4"/>
    <w:rsid w:val="003E0FD2"/>
    <w:rsid w:val="0042794A"/>
    <w:rsid w:val="00437B40"/>
    <w:rsid w:val="0045669C"/>
    <w:rsid w:val="00467F3B"/>
    <w:rsid w:val="00473D8F"/>
    <w:rsid w:val="00476827"/>
    <w:rsid w:val="00481A83"/>
    <w:rsid w:val="00483F6A"/>
    <w:rsid w:val="00487446"/>
    <w:rsid w:val="004D249E"/>
    <w:rsid w:val="00502F64"/>
    <w:rsid w:val="005135DE"/>
    <w:rsid w:val="005563AF"/>
    <w:rsid w:val="00563F96"/>
    <w:rsid w:val="00567B65"/>
    <w:rsid w:val="00574947"/>
    <w:rsid w:val="005B6DDE"/>
    <w:rsid w:val="005C5927"/>
    <w:rsid w:val="005D08F0"/>
    <w:rsid w:val="005D4276"/>
    <w:rsid w:val="005F7A01"/>
    <w:rsid w:val="006933BA"/>
    <w:rsid w:val="006C2854"/>
    <w:rsid w:val="006C3A34"/>
    <w:rsid w:val="00704F4A"/>
    <w:rsid w:val="007632E1"/>
    <w:rsid w:val="007801F6"/>
    <w:rsid w:val="007C6219"/>
    <w:rsid w:val="007D5A4F"/>
    <w:rsid w:val="0084592D"/>
    <w:rsid w:val="00864027"/>
    <w:rsid w:val="00883D35"/>
    <w:rsid w:val="00891EB5"/>
    <w:rsid w:val="008A4479"/>
    <w:rsid w:val="008B3967"/>
    <w:rsid w:val="008D26A7"/>
    <w:rsid w:val="008E38A4"/>
    <w:rsid w:val="008F0BEC"/>
    <w:rsid w:val="00906BC4"/>
    <w:rsid w:val="00926FF2"/>
    <w:rsid w:val="00934F07"/>
    <w:rsid w:val="00985A8C"/>
    <w:rsid w:val="00994216"/>
    <w:rsid w:val="00997CC0"/>
    <w:rsid w:val="009A3B6E"/>
    <w:rsid w:val="009B0548"/>
    <w:rsid w:val="009B2579"/>
    <w:rsid w:val="009E712F"/>
    <w:rsid w:val="00A1028F"/>
    <w:rsid w:val="00A10666"/>
    <w:rsid w:val="00A27103"/>
    <w:rsid w:val="00A335CB"/>
    <w:rsid w:val="00A36CAA"/>
    <w:rsid w:val="00A50DEF"/>
    <w:rsid w:val="00AC0F76"/>
    <w:rsid w:val="00AC42BE"/>
    <w:rsid w:val="00AD197F"/>
    <w:rsid w:val="00B13458"/>
    <w:rsid w:val="00B226BA"/>
    <w:rsid w:val="00B25AD3"/>
    <w:rsid w:val="00B7292D"/>
    <w:rsid w:val="00B902B1"/>
    <w:rsid w:val="00C052E5"/>
    <w:rsid w:val="00C80499"/>
    <w:rsid w:val="00C83C0E"/>
    <w:rsid w:val="00CA22BF"/>
    <w:rsid w:val="00CA3CF1"/>
    <w:rsid w:val="00CB1584"/>
    <w:rsid w:val="00CD333C"/>
    <w:rsid w:val="00D04964"/>
    <w:rsid w:val="00D16C4A"/>
    <w:rsid w:val="00D16E2B"/>
    <w:rsid w:val="00D60204"/>
    <w:rsid w:val="00D664E8"/>
    <w:rsid w:val="00D96317"/>
    <w:rsid w:val="00D9774E"/>
    <w:rsid w:val="00DA5005"/>
    <w:rsid w:val="00DB4595"/>
    <w:rsid w:val="00DD54A0"/>
    <w:rsid w:val="00DE17A9"/>
    <w:rsid w:val="00DE6EF0"/>
    <w:rsid w:val="00E300BB"/>
    <w:rsid w:val="00E470E3"/>
    <w:rsid w:val="00E92F7E"/>
    <w:rsid w:val="00E97ACA"/>
    <w:rsid w:val="00F47F05"/>
    <w:rsid w:val="00F6698F"/>
    <w:rsid w:val="00F820A9"/>
    <w:rsid w:val="00FA5B28"/>
    <w:rsid w:val="00FE3855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280" w:after="119"/>
    </w:pPr>
  </w:style>
  <w:style w:type="character" w:customStyle="1" w:styleId="a7">
    <w:name w:val="Верхний колонтитул Знак"/>
    <w:link w:val="a6"/>
    <w:uiPriority w:val="99"/>
    <w:rsid w:val="00563F96"/>
    <w:rPr>
      <w:sz w:val="24"/>
      <w:szCs w:val="24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63F96"/>
    <w:pPr>
      <w:suppressAutoHyphens w:val="0"/>
      <w:ind w:left="720"/>
      <w:contextualSpacing/>
    </w:pPr>
    <w:rPr>
      <w:lang w:eastAsia="ru-RU"/>
    </w:rPr>
  </w:style>
  <w:style w:type="character" w:styleId="ac">
    <w:name w:val="Hyperlink"/>
    <w:rsid w:val="0092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280" w:after="119"/>
    </w:pPr>
  </w:style>
  <w:style w:type="character" w:customStyle="1" w:styleId="a7">
    <w:name w:val="Верхний колонтитул Знак"/>
    <w:link w:val="a6"/>
    <w:uiPriority w:val="99"/>
    <w:rsid w:val="00563F96"/>
    <w:rPr>
      <w:sz w:val="24"/>
      <w:szCs w:val="24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63F96"/>
    <w:pPr>
      <w:suppressAutoHyphens w:val="0"/>
      <w:ind w:left="720"/>
      <w:contextualSpacing/>
    </w:pPr>
    <w:rPr>
      <w:lang w:eastAsia="ru-RU"/>
    </w:rPr>
  </w:style>
  <w:style w:type="character" w:styleId="ac">
    <w:name w:val="Hyperlink"/>
    <w:rsid w:val="0092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475B4AA791D6562FFF1F40EE51E752A692725F1D838F6E050B9C59F0D699479A3958E3EB74C326F5C4EB14DAC20B865F3B16678CA9B07Cg0Y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2805-2209-467C-90BE-318E85E8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balyasnikova</dc:creator>
  <cp:lastModifiedBy>kadry</cp:lastModifiedBy>
  <cp:revision>4</cp:revision>
  <cp:lastPrinted>2023-09-07T07:07:00Z</cp:lastPrinted>
  <dcterms:created xsi:type="dcterms:W3CDTF">2024-02-29T07:07:00Z</dcterms:created>
  <dcterms:modified xsi:type="dcterms:W3CDTF">2024-02-29T07:08:00Z</dcterms:modified>
</cp:coreProperties>
</file>