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F14A3F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4</w:t>
            </w:r>
            <w:r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8860C1" w:rsidRPr="008860C1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501-кл от 21.12.2023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F14A3F">
        <w:rPr>
          <w:sz w:val="25"/>
          <w:szCs w:val="25"/>
        </w:rPr>
        <w:t>021301:1319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F14A3F">
        <w:rPr>
          <w:sz w:val="25"/>
          <w:szCs w:val="25"/>
        </w:rPr>
        <w:t>птицеводство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B51654">
        <w:rPr>
          <w:sz w:val="24"/>
          <w:szCs w:val="24"/>
        </w:rPr>
        <w:t>152309, Российская Федерация, Ярославская область, Тутаевский муниципальный район, Константиновское сельское поселение, Фоминское п., зона Промзона, земельный участок 1319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75135A">
        <w:rPr>
          <w:sz w:val="25"/>
          <w:szCs w:val="25"/>
        </w:rPr>
        <w:t xml:space="preserve"> </w:t>
      </w:r>
      <w:r w:rsidR="00F14A3F">
        <w:rPr>
          <w:sz w:val="25"/>
          <w:szCs w:val="25"/>
        </w:rPr>
        <w:t>14264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426DC3" w:rsidRPr="00A016F4" w:rsidRDefault="00376017" w:rsidP="00A01676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A01676">
        <w:rPr>
          <w:rFonts w:ascii="Times New Roman" w:hAnsi="Times New Roman" w:cs="Times New Roman"/>
          <w:sz w:val="25"/>
          <w:szCs w:val="25"/>
        </w:rPr>
        <w:t xml:space="preserve"> </w:t>
      </w:r>
      <w:r w:rsidR="00A016F4" w:rsidRPr="00A016F4">
        <w:rPr>
          <w:rFonts w:ascii="Times New Roman" w:hAnsi="Times New Roman" w:cs="Times New Roman"/>
          <w:bCs/>
          <w:sz w:val="24"/>
          <w:szCs w:val="24"/>
        </w:rPr>
        <w:t>отсутствуют.</w:t>
      </w:r>
    </w:p>
    <w:p w:rsidR="00BF29FF" w:rsidRPr="002A22A3" w:rsidRDefault="001531CD" w:rsidP="001531CD">
      <w:pPr>
        <w:pStyle w:val="ConsPlusNonformat"/>
        <w:jc w:val="both"/>
        <w:rPr>
          <w:sz w:val="25"/>
          <w:szCs w:val="25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2.4.9. Выполнять на земельном участке в соответствии с требованиями эксплуатационных служб условия содержания и эксплуатации подземных и наземных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>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3.3. Перечисленный Арендатором задаток в сумме </w:t>
      </w:r>
      <w:r w:rsidR="00F14A3F" w:rsidRPr="00F14A3F">
        <w:rPr>
          <w:b/>
          <w:sz w:val="24"/>
          <w:szCs w:val="24"/>
        </w:rPr>
        <w:t>6980 рублей 00 коп.</w:t>
      </w:r>
      <w:r w:rsidR="00621F0E" w:rsidRPr="00621F0E">
        <w:rPr>
          <w:b/>
          <w:sz w:val="24"/>
          <w:szCs w:val="24"/>
        </w:rPr>
        <w:t xml:space="preserve"> </w:t>
      </w:r>
      <w:r w:rsidR="00621F0E">
        <w:rPr>
          <w:sz w:val="24"/>
          <w:szCs w:val="24"/>
        </w:rPr>
        <w:t xml:space="preserve"> </w:t>
      </w:r>
      <w:r w:rsidRPr="002A22A3">
        <w:rPr>
          <w:sz w:val="25"/>
          <w:szCs w:val="25"/>
        </w:rPr>
        <w:t>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lastRenderedPageBreak/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9D7E9A">
        <w:rPr>
          <w:b/>
          <w:sz w:val="25"/>
          <w:szCs w:val="25"/>
        </w:rPr>
        <w:t>88 месяцев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452F4C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A016F4">
        <w:rPr>
          <w:b/>
          <w:bCs/>
          <w:sz w:val="25"/>
          <w:szCs w:val="25"/>
        </w:rPr>
        <w:t>3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452F4C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452F4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</w:t>
            </w:r>
            <w:r w:rsidR="008F4C73">
              <w:rPr>
                <w:sz w:val="25"/>
                <w:szCs w:val="25"/>
              </w:rPr>
              <w:t xml:space="preserve">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452F4C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F0" w:rsidRDefault="006C58F0">
      <w:r>
        <w:separator/>
      </w:r>
    </w:p>
  </w:endnote>
  <w:endnote w:type="continuationSeparator" w:id="1">
    <w:p w:rsidR="006C58F0" w:rsidRDefault="006C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F0" w:rsidRDefault="006C58F0">
      <w:r>
        <w:separator/>
      </w:r>
    </w:p>
  </w:footnote>
  <w:footnote w:type="continuationSeparator" w:id="1">
    <w:p w:rsidR="006C58F0" w:rsidRDefault="006C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31F7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6DB"/>
    <w:rsid w:val="000E2EBE"/>
    <w:rsid w:val="000E484F"/>
    <w:rsid w:val="000E4FE9"/>
    <w:rsid w:val="000E609D"/>
    <w:rsid w:val="000E61C2"/>
    <w:rsid w:val="000F03E7"/>
    <w:rsid w:val="000F1885"/>
    <w:rsid w:val="000F737F"/>
    <w:rsid w:val="000F7DCA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30D6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2F4C"/>
    <w:rsid w:val="004540E2"/>
    <w:rsid w:val="00454516"/>
    <w:rsid w:val="0046225E"/>
    <w:rsid w:val="00462427"/>
    <w:rsid w:val="00462DE0"/>
    <w:rsid w:val="00466313"/>
    <w:rsid w:val="00467CE4"/>
    <w:rsid w:val="004709B5"/>
    <w:rsid w:val="004737F2"/>
    <w:rsid w:val="00475901"/>
    <w:rsid w:val="004778E5"/>
    <w:rsid w:val="004808DF"/>
    <w:rsid w:val="004815B9"/>
    <w:rsid w:val="004850D8"/>
    <w:rsid w:val="00487B7A"/>
    <w:rsid w:val="00491174"/>
    <w:rsid w:val="00495A1C"/>
    <w:rsid w:val="0049684E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6B30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1C34"/>
    <w:rsid w:val="0060472A"/>
    <w:rsid w:val="006079B2"/>
    <w:rsid w:val="00610FCB"/>
    <w:rsid w:val="00612E66"/>
    <w:rsid w:val="00615A5E"/>
    <w:rsid w:val="006167B6"/>
    <w:rsid w:val="0062060F"/>
    <w:rsid w:val="00621F0E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48FF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58F0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35A"/>
    <w:rsid w:val="00751D01"/>
    <w:rsid w:val="00752C1B"/>
    <w:rsid w:val="0075482D"/>
    <w:rsid w:val="007560F3"/>
    <w:rsid w:val="00773A35"/>
    <w:rsid w:val="007824C1"/>
    <w:rsid w:val="0078445A"/>
    <w:rsid w:val="007864A2"/>
    <w:rsid w:val="007914FC"/>
    <w:rsid w:val="00791C9A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860C1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56"/>
    <w:rsid w:val="008C2BF2"/>
    <w:rsid w:val="008C738C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2AE"/>
    <w:rsid w:val="00996438"/>
    <w:rsid w:val="009A2427"/>
    <w:rsid w:val="009A2746"/>
    <w:rsid w:val="009A3348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D7E9A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6DA"/>
    <w:rsid w:val="00A329C1"/>
    <w:rsid w:val="00A36F3E"/>
    <w:rsid w:val="00A408C2"/>
    <w:rsid w:val="00A412FA"/>
    <w:rsid w:val="00A474D3"/>
    <w:rsid w:val="00A51A56"/>
    <w:rsid w:val="00A52C8C"/>
    <w:rsid w:val="00A534B5"/>
    <w:rsid w:val="00A60B47"/>
    <w:rsid w:val="00A6364A"/>
    <w:rsid w:val="00A73B79"/>
    <w:rsid w:val="00A741AC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21D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CA2"/>
    <w:rsid w:val="00B37837"/>
    <w:rsid w:val="00B378AF"/>
    <w:rsid w:val="00B51654"/>
    <w:rsid w:val="00B5206E"/>
    <w:rsid w:val="00B5305B"/>
    <w:rsid w:val="00B5425C"/>
    <w:rsid w:val="00B544DC"/>
    <w:rsid w:val="00B55A61"/>
    <w:rsid w:val="00B578B7"/>
    <w:rsid w:val="00B600C0"/>
    <w:rsid w:val="00B6434C"/>
    <w:rsid w:val="00B659F6"/>
    <w:rsid w:val="00B7440F"/>
    <w:rsid w:val="00B747DD"/>
    <w:rsid w:val="00B772EE"/>
    <w:rsid w:val="00B7734A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133D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61E23"/>
    <w:rsid w:val="00C711A1"/>
    <w:rsid w:val="00C7373E"/>
    <w:rsid w:val="00C74C85"/>
    <w:rsid w:val="00C76FCD"/>
    <w:rsid w:val="00C83D8F"/>
    <w:rsid w:val="00C902AD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835"/>
    <w:rsid w:val="00D033E3"/>
    <w:rsid w:val="00D0624D"/>
    <w:rsid w:val="00D07A1F"/>
    <w:rsid w:val="00D10F94"/>
    <w:rsid w:val="00D14867"/>
    <w:rsid w:val="00D1513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71B3"/>
    <w:rsid w:val="00DF0739"/>
    <w:rsid w:val="00DF51DA"/>
    <w:rsid w:val="00DF7FEF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14A3F"/>
    <w:rsid w:val="00F258AB"/>
    <w:rsid w:val="00F25BCD"/>
    <w:rsid w:val="00F371AE"/>
    <w:rsid w:val="00F41926"/>
    <w:rsid w:val="00F42C71"/>
    <w:rsid w:val="00F46760"/>
    <w:rsid w:val="00F518E8"/>
    <w:rsid w:val="00F53CDD"/>
    <w:rsid w:val="00F60A4F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29</cp:revision>
  <cp:lastPrinted>2024-03-05T13:27:00Z</cp:lastPrinted>
  <dcterms:created xsi:type="dcterms:W3CDTF">2019-06-07T06:44:00Z</dcterms:created>
  <dcterms:modified xsi:type="dcterms:W3CDTF">2024-08-22T12:53:00Z</dcterms:modified>
</cp:coreProperties>
</file>