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D2B" w:rsidRDefault="00FE0D2B">
      <w:pPr>
        <w:jc w:val="center"/>
        <w:rPr>
          <w:b/>
        </w:rPr>
      </w:pPr>
    </w:p>
    <w:p w:rsidR="00152BF2" w:rsidRPr="00912786" w:rsidRDefault="00152BF2">
      <w:pPr>
        <w:jc w:val="center"/>
        <w:rPr>
          <w:b/>
        </w:rPr>
      </w:pPr>
      <w:r w:rsidRPr="00912786">
        <w:rPr>
          <w:b/>
        </w:rPr>
        <w:t>Извещение</w:t>
      </w:r>
    </w:p>
    <w:p w:rsidR="007C1032" w:rsidRPr="00912786" w:rsidRDefault="00152BF2" w:rsidP="00066D9C">
      <w:pPr>
        <w:jc w:val="center"/>
        <w:rPr>
          <w:b/>
        </w:rPr>
      </w:pPr>
      <w:r w:rsidRPr="00912786">
        <w:rPr>
          <w:b/>
        </w:rPr>
        <w:t xml:space="preserve">о проведении аукциона </w:t>
      </w:r>
      <w:r w:rsidR="009F69FD" w:rsidRPr="00912786">
        <w:rPr>
          <w:b/>
        </w:rPr>
        <w:t>в электронной форме</w:t>
      </w:r>
    </w:p>
    <w:p w:rsidR="00927112" w:rsidRPr="00912786" w:rsidRDefault="007C1032" w:rsidP="00066D9C">
      <w:pPr>
        <w:jc w:val="center"/>
        <w:rPr>
          <w:b/>
        </w:rPr>
      </w:pPr>
      <w:r w:rsidRPr="00912786">
        <w:rPr>
          <w:b/>
        </w:rPr>
        <w:t>на право заключения договора аренды земельн</w:t>
      </w:r>
      <w:r w:rsidR="009B1BA8">
        <w:rPr>
          <w:b/>
        </w:rPr>
        <w:t>ого</w:t>
      </w:r>
      <w:r w:rsidRPr="00912786">
        <w:rPr>
          <w:b/>
        </w:rPr>
        <w:t xml:space="preserve"> участк</w:t>
      </w:r>
      <w:r w:rsidR="009B1BA8">
        <w:rPr>
          <w:b/>
        </w:rPr>
        <w:t>а</w:t>
      </w:r>
    </w:p>
    <w:p w:rsidR="00377B2D" w:rsidRPr="00FF3D33" w:rsidRDefault="00377B2D" w:rsidP="00066D9C">
      <w:pPr>
        <w:jc w:val="center"/>
        <w:rPr>
          <w:b/>
        </w:rPr>
      </w:pPr>
    </w:p>
    <w:p w:rsidR="007C1032" w:rsidRPr="00FF3D33" w:rsidRDefault="007C1032" w:rsidP="001B03A8">
      <w:pPr>
        <w:pStyle w:val="af1"/>
        <w:numPr>
          <w:ilvl w:val="0"/>
          <w:numId w:val="17"/>
        </w:numPr>
        <w:ind w:left="0" w:firstLine="426"/>
        <w:jc w:val="both"/>
      </w:pPr>
      <w:r w:rsidRPr="00FF3D33">
        <w:t>Иници</w:t>
      </w:r>
      <w:r w:rsidR="00B22874" w:rsidRPr="00FF3D33">
        <w:t xml:space="preserve">атор аукциона </w:t>
      </w:r>
      <w:r w:rsidR="00B13E2F">
        <w:t>–</w:t>
      </w:r>
      <w:r w:rsidR="00B22874" w:rsidRPr="00FF3D33">
        <w:t xml:space="preserve"> Администрация</w:t>
      </w:r>
      <w:r w:rsidRPr="00FF3D33">
        <w:t>Тутаевского муниципального района</w:t>
      </w:r>
      <w:r w:rsidR="000B677E" w:rsidRPr="00FF3D33">
        <w:t xml:space="preserve">, официальный сайт Администрации Тутаевского муниципального района </w:t>
      </w:r>
      <w:hyperlink r:id="rId8" w:history="1">
        <w:r w:rsidR="000B677E" w:rsidRPr="00FF3D33">
          <w:rPr>
            <w:rStyle w:val="ad"/>
          </w:rPr>
          <w:t>http://www.</w:t>
        </w:r>
        <w:r w:rsidR="000B677E" w:rsidRPr="00FF3D33">
          <w:rPr>
            <w:rStyle w:val="ad"/>
            <w:lang w:val="en-US"/>
          </w:rPr>
          <w:t>admtmr</w:t>
        </w:r>
        <w:r w:rsidR="000B677E" w:rsidRPr="00FF3D33">
          <w:rPr>
            <w:rStyle w:val="ad"/>
          </w:rPr>
          <w:t>.ru</w:t>
        </w:r>
      </w:hyperlink>
      <w:r w:rsidR="000B677E" w:rsidRPr="00FF3D33">
        <w:t>.Номер контактного телефона: 8(48533) 23577, адрес электронной почты:</w:t>
      </w:r>
      <w:r w:rsidR="00E96DCB" w:rsidRPr="00E96DCB">
        <w:t xml:space="preserve"> dmi@admtmr.ru</w:t>
      </w:r>
      <w:r w:rsidR="000B677E" w:rsidRPr="00FF3D33">
        <w:t>, Петрова А.Е.</w:t>
      </w:r>
    </w:p>
    <w:p w:rsidR="00B22874" w:rsidRPr="00FF3D33" w:rsidRDefault="00456305" w:rsidP="001B03A8">
      <w:pPr>
        <w:pStyle w:val="2"/>
        <w:numPr>
          <w:ilvl w:val="1"/>
          <w:numId w:val="13"/>
        </w:numPr>
        <w:tabs>
          <w:tab w:val="left" w:pos="993"/>
        </w:tabs>
        <w:ind w:left="0" w:firstLine="426"/>
      </w:pPr>
      <w:r>
        <w:t>У</w:t>
      </w:r>
      <w:r w:rsidR="00B22874" w:rsidRPr="00FF3D33">
        <w:t>полномоченный орган по подготовке документов к организации аукциона: Управление муниципального имущества Администрации Тутаевского муниципального района на основании Постановления Администрации ТМР «Об утверждении Положения об Управлении муниципального имущества Администрации ТМР».</w:t>
      </w:r>
    </w:p>
    <w:p w:rsidR="007C1032" w:rsidRPr="00FF3D33" w:rsidRDefault="007C1032" w:rsidP="001B03A8">
      <w:pPr>
        <w:pStyle w:val="2"/>
        <w:ind w:firstLine="426"/>
      </w:pPr>
      <w:r w:rsidRPr="00FF3D33">
        <w:rPr>
          <w:b/>
        </w:rPr>
        <w:t>2</w:t>
      </w:r>
      <w:r w:rsidRPr="00FF3D33">
        <w:t xml:space="preserve">. Организатор аукциона, уполномоченный орган по организации аукциона: </w:t>
      </w:r>
      <w:r w:rsidR="00D5759C" w:rsidRPr="00FF3D33">
        <w:t>Министерство конкурентной политики</w:t>
      </w:r>
      <w:r w:rsidRPr="00FF3D33">
        <w:t xml:space="preserve"> Ярославской области. </w:t>
      </w:r>
    </w:p>
    <w:p w:rsidR="00762195" w:rsidRPr="00FF3D33" w:rsidRDefault="007C1032" w:rsidP="001B03A8">
      <w:pPr>
        <w:tabs>
          <w:tab w:val="left" w:pos="709"/>
        </w:tabs>
        <w:ind w:firstLine="426"/>
        <w:jc w:val="both"/>
      </w:pPr>
      <w:r w:rsidRPr="00FF3D33">
        <w:rPr>
          <w:b/>
        </w:rPr>
        <w:t>3</w:t>
      </w:r>
      <w:r w:rsidR="00377B2D" w:rsidRPr="00FF3D33">
        <w:t xml:space="preserve">. </w:t>
      </w:r>
      <w:r w:rsidR="00E15C54" w:rsidRPr="00FF3D33">
        <w:rPr>
          <w:b/>
          <w:u w:val="single"/>
        </w:rPr>
        <w:t xml:space="preserve">Лот </w:t>
      </w:r>
      <w:r w:rsidR="00D867DC" w:rsidRPr="00FF3D33">
        <w:rPr>
          <w:b/>
          <w:u w:val="single"/>
        </w:rPr>
        <w:t>1</w:t>
      </w:r>
      <w:r w:rsidR="00E15C54" w:rsidRPr="00FF3D33">
        <w:rPr>
          <w:b/>
        </w:rPr>
        <w:t>.</w:t>
      </w:r>
      <w:r w:rsidR="00762195" w:rsidRPr="00FF3D33">
        <w:t xml:space="preserve">Аукцион на  право заключения договора аренды земельного участка проводится на основании Постановления Администрации Тутаевского муниципального района от </w:t>
      </w:r>
      <w:r w:rsidR="00357861" w:rsidRPr="00FF3D33">
        <w:t>1</w:t>
      </w:r>
      <w:r w:rsidR="00E96DCB">
        <w:t>9</w:t>
      </w:r>
      <w:r w:rsidR="00762195" w:rsidRPr="00FF3D33">
        <w:t>.</w:t>
      </w:r>
      <w:r w:rsidR="00FF3D33" w:rsidRPr="00FF3D33">
        <w:t>0</w:t>
      </w:r>
      <w:r w:rsidR="00EB65D5">
        <w:t>3</w:t>
      </w:r>
      <w:r w:rsidR="00762195" w:rsidRPr="00FF3D33">
        <w:t>.202</w:t>
      </w:r>
      <w:r w:rsidR="00FF3D33" w:rsidRPr="00FF3D33">
        <w:t>5</w:t>
      </w:r>
      <w:r w:rsidR="00762195" w:rsidRPr="00FF3D33">
        <w:t xml:space="preserve"> № </w:t>
      </w:r>
      <w:r w:rsidR="00E96DCB">
        <w:t>48</w:t>
      </w:r>
      <w:r w:rsidR="00762195" w:rsidRPr="00FF3D33">
        <w:t xml:space="preserve">-з «О проведении аукциона </w:t>
      </w:r>
      <w:r w:rsidR="007B57E3" w:rsidRPr="00FF3D33">
        <w:t xml:space="preserve">в электронной форме </w:t>
      </w:r>
      <w:r w:rsidR="00762195" w:rsidRPr="00FF3D33">
        <w:t>на право заключения договора аренды земельного участк</w:t>
      </w:r>
      <w:r w:rsidR="00357861" w:rsidRPr="00FF3D33">
        <w:t>а</w:t>
      </w:r>
      <w:r w:rsidR="00762195" w:rsidRPr="00FF3D33">
        <w:t>»</w:t>
      </w:r>
    </w:p>
    <w:p w:rsidR="00D43BF2" w:rsidRPr="004E2D9A" w:rsidRDefault="00D43BF2" w:rsidP="00D43BF2">
      <w:pPr>
        <w:jc w:val="both"/>
      </w:pPr>
      <w:r w:rsidRPr="004E2D9A">
        <w:tab/>
        <w:t>Аукцион проводится в соответствии с Земельным кодексом Российской Федерации.</w:t>
      </w:r>
    </w:p>
    <w:p w:rsidR="00E96DCB" w:rsidRPr="00634664" w:rsidRDefault="00E96DCB" w:rsidP="00E96DCB">
      <w:pPr>
        <w:pStyle w:val="2"/>
        <w:ind w:left="709" w:firstLine="0"/>
        <w:rPr>
          <w:b/>
        </w:rPr>
      </w:pPr>
      <w:r w:rsidRPr="00634664">
        <w:rPr>
          <w:b/>
        </w:rPr>
        <w:t>3.1 Сведения о предмете аукциона.</w:t>
      </w:r>
    </w:p>
    <w:p w:rsidR="00E96DCB" w:rsidRPr="00634664" w:rsidRDefault="00E96DCB" w:rsidP="00E96DCB">
      <w:pPr>
        <w:pStyle w:val="2"/>
        <w:ind w:left="709" w:firstLine="0"/>
      </w:pPr>
      <w:r w:rsidRPr="00634664">
        <w:t xml:space="preserve">Предмет аукциона: право на заключение договора аренды земельного участка. </w:t>
      </w:r>
    </w:p>
    <w:p w:rsidR="00E96DCB" w:rsidRPr="00634664" w:rsidRDefault="00E96DCB" w:rsidP="00E96DCB">
      <w:pPr>
        <w:pStyle w:val="2"/>
        <w:ind w:left="709" w:firstLine="0"/>
        <w:rPr>
          <w:color w:val="FF0000"/>
        </w:rPr>
      </w:pPr>
      <w:r w:rsidRPr="00634664">
        <w:t>Местоположение (адрес) земельного участка: Российская Федерация, Ярославская область, Тутаевский муниципальный район, городское поселение Тутаев, город Тутаев, улица Толбухина, земельный участок 112.</w:t>
      </w:r>
    </w:p>
    <w:p w:rsidR="00E96DCB" w:rsidRPr="00634664" w:rsidRDefault="00E96DCB" w:rsidP="00E96DCB">
      <w:pPr>
        <w:pStyle w:val="2"/>
        <w:ind w:firstLine="709"/>
      </w:pPr>
      <w:r w:rsidRPr="00634664">
        <w:t>Площадь земельного участка: 2049 кв.м.</w:t>
      </w:r>
    </w:p>
    <w:p w:rsidR="00E96DCB" w:rsidRPr="00634664" w:rsidRDefault="00E96DCB" w:rsidP="00E96DCB">
      <w:pPr>
        <w:pStyle w:val="2"/>
        <w:ind w:firstLine="709"/>
      </w:pPr>
      <w:r w:rsidRPr="00634664">
        <w:t>Кадастровый номер земельного участка: 76:21:020112:3.</w:t>
      </w:r>
    </w:p>
    <w:p w:rsidR="00E96DCB" w:rsidRPr="00634664" w:rsidRDefault="00E96DCB" w:rsidP="00E96DCB">
      <w:pPr>
        <w:pStyle w:val="a3"/>
        <w:tabs>
          <w:tab w:val="left" w:pos="709"/>
        </w:tabs>
        <w:ind w:firstLine="709"/>
        <w:jc w:val="both"/>
      </w:pPr>
      <w:r w:rsidRPr="00634664">
        <w:t xml:space="preserve">Категория земель: земли населенных пунктов. </w:t>
      </w:r>
    </w:p>
    <w:p w:rsidR="00E96DCB" w:rsidRPr="00634664" w:rsidRDefault="00E96DCB" w:rsidP="00E96DCB">
      <w:pPr>
        <w:pStyle w:val="a3"/>
        <w:tabs>
          <w:tab w:val="left" w:pos="709"/>
        </w:tabs>
        <w:ind w:firstLine="709"/>
        <w:jc w:val="both"/>
      </w:pPr>
      <w:r w:rsidRPr="00634664">
        <w:t>Разрешенное использование земельного участка: для индивидуального жилищного строительства</w:t>
      </w:r>
    </w:p>
    <w:p w:rsidR="00E96DCB" w:rsidRPr="00634664" w:rsidRDefault="00E96DCB" w:rsidP="00E96DCB">
      <w:pPr>
        <w:pStyle w:val="a3"/>
        <w:tabs>
          <w:tab w:val="left" w:pos="709"/>
        </w:tabs>
        <w:ind w:firstLine="709"/>
        <w:jc w:val="both"/>
      </w:pPr>
      <w:r w:rsidRPr="00634664">
        <w:t>Территориальная зона: УСЖ – зона периферийной усадебной застройки</w:t>
      </w:r>
    </w:p>
    <w:p w:rsidR="00E96DCB" w:rsidRPr="00634664" w:rsidRDefault="00E96DCB" w:rsidP="00E96DCB">
      <w:pPr>
        <w:pStyle w:val="2"/>
        <w:ind w:firstLine="709"/>
        <w:rPr>
          <w:bCs/>
          <w:color w:val="000000"/>
        </w:rPr>
      </w:pPr>
      <w:r w:rsidRPr="00634664">
        <w:rPr>
          <w:bCs/>
          <w:color w:val="000000"/>
        </w:rPr>
        <w:t>Сведения о правах на земельный участок (на основании выписки из ЕГРН): сведения отсутствуют.</w:t>
      </w:r>
    </w:p>
    <w:p w:rsidR="00E96DCB" w:rsidRPr="00634664" w:rsidRDefault="00E96DCB" w:rsidP="00E96DCB">
      <w:pPr>
        <w:pStyle w:val="ConsPlusNonformat"/>
        <w:jc w:val="both"/>
        <w:rPr>
          <w:rFonts w:ascii="Times New Roman" w:hAnsi="Times New Roman" w:cs="Times New Roman"/>
          <w:bCs/>
          <w:i/>
        </w:rPr>
      </w:pPr>
      <w:r w:rsidRPr="00634664">
        <w:rPr>
          <w:rFonts w:ascii="Times New Roman" w:hAnsi="Times New Roman" w:cs="Times New Roman"/>
          <w:bCs/>
          <w:color w:val="000000"/>
        </w:rPr>
        <w:t xml:space="preserve">             Сведения об ограничениях прав на земельный участок, об обременениях земельного       участка, в том числе</w:t>
      </w:r>
      <w:r w:rsidRPr="00634664">
        <w:rPr>
          <w:rFonts w:ascii="Times New Roman" w:hAnsi="Times New Roman" w:cs="Times New Roman"/>
        </w:rPr>
        <w:t>особые условия использования территории</w:t>
      </w:r>
      <w:r w:rsidRPr="00634664">
        <w:rPr>
          <w:rFonts w:ascii="Times New Roman" w:hAnsi="Times New Roman" w:cs="Times New Roman"/>
          <w:bCs/>
          <w:color w:val="000000"/>
        </w:rPr>
        <w:t>:</w:t>
      </w:r>
    </w:p>
    <w:p w:rsidR="00E96DCB" w:rsidRPr="00634664" w:rsidRDefault="00E96DCB" w:rsidP="00E96DCB">
      <w:pPr>
        <w:pStyle w:val="ConsPlusNonformat"/>
        <w:ind w:firstLine="720"/>
        <w:jc w:val="both"/>
        <w:rPr>
          <w:rFonts w:ascii="Times New Roman" w:hAnsi="Times New Roman" w:cs="Times New Roman"/>
          <w:bCs/>
        </w:rPr>
      </w:pPr>
      <w:r w:rsidRPr="00634664">
        <w:rPr>
          <w:rFonts w:ascii="Times New Roman" w:hAnsi="Times New Roman" w:cs="Times New Roman"/>
          <w:bCs/>
        </w:rPr>
        <w:t>Земельный участок полностью расположен в границах территории исторического поселения федерального значения г.Тутаев. Ограничения прав на земельный участок предусмотрены приказом Министерства культуры Российской Федерации от 14.01.2019 №16 «Об утверждении предмета охраны, границ территории и требований к градостроительным регламентам в границах территории исторического поселения федерального значения город Тутаев Ярославской области». Площадь земельного участка, покрываемая зоной с особыми условиями использования территории, составляет 2049кв.м.</w:t>
      </w:r>
    </w:p>
    <w:p w:rsidR="00E96DCB" w:rsidRPr="00634664" w:rsidRDefault="00E96DCB" w:rsidP="00E96DCB">
      <w:pPr>
        <w:pStyle w:val="ConsPlusNonformat"/>
        <w:ind w:firstLine="720"/>
        <w:jc w:val="both"/>
        <w:rPr>
          <w:rFonts w:ascii="Times New Roman" w:hAnsi="Times New Roman" w:cs="Times New Roman"/>
          <w:bCs/>
        </w:rPr>
      </w:pPr>
      <w:r w:rsidRPr="00634664">
        <w:rPr>
          <w:rFonts w:ascii="Times New Roman" w:hAnsi="Times New Roman" w:cs="Times New Roman"/>
          <w:bCs/>
        </w:rPr>
        <w:t>Земельный участок полностью расположен в охранной зоне памятников истории и культуры. Ограничения использования земельного участка предусмотрены Проектом охранных зон памятников истории и культуры города Тутаева, утвержденным Решением исполнительного комитета Ярославского областного Совета народных депутатов от 23.11.1990 №371. Площадь земельного участка, покрываемая зоной с особыми условиями использования территории, составляет 2049 кв.м.</w:t>
      </w:r>
    </w:p>
    <w:p w:rsidR="00E96DCB" w:rsidRPr="00634664" w:rsidRDefault="00E96DCB" w:rsidP="00E96DCB">
      <w:pPr>
        <w:pStyle w:val="ConsPlusNonformat"/>
        <w:ind w:firstLine="720"/>
        <w:jc w:val="both"/>
        <w:rPr>
          <w:rFonts w:ascii="Times New Roman" w:hAnsi="Times New Roman" w:cs="Times New Roman"/>
          <w:b/>
          <w:bCs/>
        </w:rPr>
      </w:pPr>
      <w:r w:rsidRPr="00634664">
        <w:rPr>
          <w:rFonts w:ascii="Times New Roman" w:hAnsi="Times New Roman" w:cs="Times New Roman"/>
          <w:b/>
          <w:bCs/>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E96DCB" w:rsidRPr="00634664" w:rsidRDefault="00E96DCB" w:rsidP="00E96DCB">
      <w:pPr>
        <w:autoSpaceDE w:val="0"/>
        <w:autoSpaceDN w:val="0"/>
        <w:ind w:firstLine="720"/>
        <w:jc w:val="both"/>
      </w:pPr>
      <w:r w:rsidRPr="00634664">
        <w:t>Решение Муниципального Совета городского поселения Тутаев от 17.06.2021 г. № 102 «Об утверждении Правил землепользования и застройки городского поселения Тутаев Тутаевского муниципального района Ярославской области» (в ред. от 11.02.2025 №4).</w:t>
      </w:r>
    </w:p>
    <w:p w:rsidR="00E96DCB" w:rsidRPr="00634664" w:rsidRDefault="00E96DCB" w:rsidP="00E96DCB">
      <w:pPr>
        <w:pStyle w:val="ConsPlusNonformat"/>
        <w:ind w:firstLine="720"/>
        <w:jc w:val="both"/>
        <w:rPr>
          <w:rFonts w:ascii="Times New Roman" w:hAnsi="Times New Roman" w:cs="Times New Roman"/>
        </w:rPr>
      </w:pPr>
      <w:r w:rsidRPr="00634664">
        <w:rPr>
          <w:rFonts w:ascii="Times New Roman" w:hAnsi="Times New Roman" w:cs="Times New Roman"/>
        </w:rPr>
        <w:t>Приказ Министерства культуры Российской Федерации от 14.01.2019 г. № 16 «Об утверждении предмета охраны, границ территории и требований к градостроительным регламентам в границах территории исторического поселения федерального значения город Тутаев Ярославской области»;</w:t>
      </w:r>
    </w:p>
    <w:p w:rsidR="00E96DCB" w:rsidRPr="00634664" w:rsidRDefault="00E96DCB" w:rsidP="00E96DCB">
      <w:pPr>
        <w:pStyle w:val="ConsPlusNonformat"/>
        <w:jc w:val="both"/>
        <w:rPr>
          <w:rFonts w:ascii="Times New Roman" w:hAnsi="Times New Roman" w:cs="Times New Roman"/>
        </w:rPr>
      </w:pPr>
      <w:r w:rsidRPr="00634664">
        <w:rPr>
          <w:rFonts w:ascii="Times New Roman" w:hAnsi="Times New Roman" w:cs="Times New Roman"/>
        </w:rPr>
        <w:t>Решение исполнительного комитета Ярославского областного Совета народных депутатов от 23.11.1990 г. № 371 «Об утверждении проекта охранных зон памятников истории и культуры города Тутаева».</w:t>
      </w:r>
    </w:p>
    <w:p w:rsidR="00E96DCB" w:rsidRPr="00634664" w:rsidRDefault="00E96DCB" w:rsidP="00E96DCB">
      <w:pPr>
        <w:pStyle w:val="ConsPlusNonformat"/>
        <w:jc w:val="both"/>
        <w:rPr>
          <w:rFonts w:ascii="Times New Roman" w:hAnsi="Times New Roman" w:cs="Times New Roman"/>
        </w:rPr>
      </w:pPr>
      <w:r w:rsidRPr="00634664">
        <w:rPr>
          <w:rFonts w:ascii="Times New Roman" w:hAnsi="Times New Roman" w:cs="Times New Roman"/>
        </w:rPr>
        <w:t xml:space="preserve">           Сведения о документации по планировке территории: сведения отсутствуют. </w:t>
      </w:r>
    </w:p>
    <w:p w:rsidR="00E96DCB" w:rsidRPr="00634664" w:rsidRDefault="00E96DCB" w:rsidP="00E96DCB">
      <w:pPr>
        <w:jc w:val="both"/>
      </w:pPr>
      <w:r w:rsidRPr="00634664">
        <w:rPr>
          <w:color w:val="000000"/>
          <w:lang w:eastAsia="en-US"/>
        </w:rPr>
        <w:tab/>
      </w:r>
      <w:r w:rsidRPr="00634664">
        <w:t xml:space="preserve">Начальная цена предмета аукциона:  </w:t>
      </w:r>
      <w:r w:rsidRPr="00634664">
        <w:rPr>
          <w:bCs/>
          <w:iCs/>
        </w:rPr>
        <w:t>55977 руб. 04 коп.</w:t>
      </w:r>
    </w:p>
    <w:p w:rsidR="00E96DCB" w:rsidRPr="00634664" w:rsidRDefault="00E96DCB" w:rsidP="00E96DCB">
      <w:pPr>
        <w:ind w:left="14" w:firstLine="696"/>
        <w:jc w:val="both"/>
      </w:pPr>
      <w:r w:rsidRPr="00634664">
        <w:t>Шаг аукциона: 1679 руб. 31 коп.</w:t>
      </w:r>
    </w:p>
    <w:p w:rsidR="00E96DCB" w:rsidRPr="00634664" w:rsidRDefault="00E96DCB" w:rsidP="00E96DCB">
      <w:pPr>
        <w:ind w:left="14" w:firstLine="696"/>
        <w:jc w:val="both"/>
      </w:pPr>
      <w:r w:rsidRPr="00634664">
        <w:t>Размер задатка:11195 рублей 40 коп.</w:t>
      </w:r>
    </w:p>
    <w:p w:rsidR="00E96DCB" w:rsidRPr="00634664" w:rsidRDefault="00E96DCB" w:rsidP="00E96DCB">
      <w:pPr>
        <w:ind w:left="14" w:firstLine="696"/>
        <w:jc w:val="both"/>
      </w:pPr>
      <w:r w:rsidRPr="00634664">
        <w:t>Срок аренды-20 лет</w:t>
      </w:r>
    </w:p>
    <w:p w:rsidR="00E96DCB" w:rsidRPr="00634664" w:rsidRDefault="00E96DCB" w:rsidP="00E96DCB">
      <w:pPr>
        <w:autoSpaceDE w:val="0"/>
        <w:autoSpaceDN w:val="0"/>
        <w:adjustRightInd w:val="0"/>
        <w:ind w:right="-144" w:firstLine="720"/>
        <w:jc w:val="both"/>
        <w:rPr>
          <w:b/>
          <w:bCs/>
        </w:rPr>
      </w:pPr>
      <w:r w:rsidRPr="00634664">
        <w:rPr>
          <w:b/>
          <w:bCs/>
        </w:rPr>
        <w:t>4.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1"/>
        <w:gridCol w:w="4262"/>
      </w:tblGrid>
      <w:tr w:rsidR="00E96DCB" w:rsidRPr="00634664" w:rsidTr="00A1044D">
        <w:trPr>
          <w:trHeight w:val="206"/>
        </w:trPr>
        <w:tc>
          <w:tcPr>
            <w:tcW w:w="5661" w:type="dxa"/>
            <w:shd w:val="clear" w:color="auto" w:fill="auto"/>
          </w:tcPr>
          <w:p w:rsidR="00E96DCB" w:rsidRPr="00634664" w:rsidRDefault="00E96DCB" w:rsidP="00A1044D">
            <w:pPr>
              <w:ind w:left="-108"/>
              <w:jc w:val="center"/>
              <w:rPr>
                <w:b/>
              </w:rPr>
            </w:pPr>
            <w:r w:rsidRPr="00634664">
              <w:rPr>
                <w:b/>
              </w:rPr>
              <w:t>Наименование вида разрешённого использования земельного участка (код вида разрешённого использования)</w:t>
            </w:r>
          </w:p>
        </w:tc>
        <w:tc>
          <w:tcPr>
            <w:tcW w:w="4262" w:type="dxa"/>
            <w:shd w:val="clear" w:color="auto" w:fill="auto"/>
          </w:tcPr>
          <w:p w:rsidR="00E96DCB" w:rsidRPr="00634664" w:rsidRDefault="00E96DCB" w:rsidP="00A1044D">
            <w:pPr>
              <w:ind w:left="-136"/>
              <w:jc w:val="center"/>
              <w:rPr>
                <w:b/>
              </w:rPr>
            </w:pPr>
            <w:r w:rsidRPr="00634664">
              <w:rPr>
                <w:b/>
              </w:rPr>
              <w:t>Предельные размеры земельных участков (мин.-макс.), кв.м</w:t>
            </w:r>
          </w:p>
        </w:tc>
      </w:tr>
      <w:tr w:rsidR="00E96DCB" w:rsidRPr="00634664" w:rsidTr="00A1044D">
        <w:trPr>
          <w:trHeight w:val="326"/>
        </w:trPr>
        <w:tc>
          <w:tcPr>
            <w:tcW w:w="9923" w:type="dxa"/>
            <w:gridSpan w:val="2"/>
            <w:shd w:val="clear" w:color="auto" w:fill="auto"/>
          </w:tcPr>
          <w:p w:rsidR="00E96DCB" w:rsidRPr="00634664" w:rsidRDefault="00E96DCB" w:rsidP="00A1044D">
            <w:pPr>
              <w:jc w:val="center"/>
              <w:rPr>
                <w:b/>
              </w:rPr>
            </w:pPr>
            <w:r w:rsidRPr="00634664">
              <w:rPr>
                <w:b/>
              </w:rPr>
              <w:t>Основные виды разрешенного использования</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Для индивидуального жилищного  строительства</w:t>
            </w:r>
          </w:p>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lastRenderedPageBreak/>
              <w:t>(2.1)</w:t>
            </w:r>
          </w:p>
        </w:tc>
        <w:tc>
          <w:tcPr>
            <w:tcW w:w="4262" w:type="dxa"/>
            <w:shd w:val="clear" w:color="auto" w:fill="auto"/>
          </w:tcPr>
          <w:p w:rsidR="00E96DCB" w:rsidRPr="00634664" w:rsidRDefault="00E96DCB" w:rsidP="00A1044D">
            <w:pPr>
              <w:jc w:val="center"/>
            </w:pPr>
            <w:r w:rsidRPr="00634664">
              <w:lastRenderedPageBreak/>
              <w:t>400-1500</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i/>
                <w:color w:val="auto"/>
                <w:sz w:val="20"/>
                <w:szCs w:val="20"/>
              </w:rPr>
            </w:pPr>
            <w:r w:rsidRPr="00634664">
              <w:rPr>
                <w:rFonts w:cs="Times New Roman"/>
                <w:i/>
                <w:color w:val="auto"/>
                <w:sz w:val="20"/>
                <w:szCs w:val="20"/>
              </w:rPr>
              <w:lastRenderedPageBreak/>
              <w:t>Малоэтажная многоквартирная жилая</w:t>
            </w:r>
          </w:p>
          <w:p w:rsidR="00E96DCB" w:rsidRPr="00634664" w:rsidRDefault="00E96DCB" w:rsidP="00A1044D">
            <w:pPr>
              <w:pStyle w:val="u"/>
              <w:ind w:firstLine="0"/>
              <w:jc w:val="center"/>
              <w:rPr>
                <w:rFonts w:cs="Times New Roman"/>
                <w:i/>
                <w:color w:val="auto"/>
                <w:sz w:val="20"/>
                <w:szCs w:val="20"/>
                <w:highlight w:val="yellow"/>
              </w:rPr>
            </w:pPr>
            <w:r w:rsidRPr="00634664">
              <w:rPr>
                <w:rFonts w:cs="Times New Roman"/>
                <w:i/>
                <w:color w:val="auto"/>
                <w:sz w:val="20"/>
                <w:szCs w:val="20"/>
              </w:rPr>
              <w:t>застройка (2.1.1)*</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i/>
                <w:color w:val="auto"/>
                <w:sz w:val="20"/>
                <w:szCs w:val="20"/>
              </w:rPr>
            </w:pPr>
            <w:r w:rsidRPr="00634664">
              <w:rPr>
                <w:rFonts w:cs="Times New Roman"/>
                <w:i/>
                <w:color w:val="auto"/>
                <w:sz w:val="20"/>
                <w:szCs w:val="20"/>
              </w:rPr>
              <w:t>Блокированная жилая застройка (2.3)*</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Коммунальное обслуживание (3.1)</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Социальное обслуживание (3.2)</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Бытовое обслуживание (3.3)</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Здравоохранение (3.4)</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Дошкольное, начальное и среднее общее образование (3.5.1)</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Культурное развитие (3.6)</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Религиозное использование (3.7)</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Амбулаторное ветеринарное обслуживание (3.10.1)</w:t>
            </w:r>
          </w:p>
        </w:tc>
        <w:tc>
          <w:tcPr>
            <w:tcW w:w="4262" w:type="dxa"/>
            <w:shd w:val="clear" w:color="auto" w:fill="auto"/>
            <w:vAlign w:val="center"/>
          </w:tcPr>
          <w:p w:rsidR="00E96DCB" w:rsidRPr="00634664" w:rsidRDefault="00E96DCB" w:rsidP="00A1044D">
            <w:pPr>
              <w:suppressAutoHyphens/>
              <w:jc w:val="center"/>
              <w:rPr>
                <w:rFonts w:eastAsia="Calibri"/>
                <w:highlight w:val="yellow"/>
                <w:lang w:eastAsia="ar-SA"/>
              </w:rP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Историко-культурная деятельность (9.3)</w:t>
            </w:r>
          </w:p>
        </w:tc>
        <w:tc>
          <w:tcPr>
            <w:tcW w:w="4262" w:type="dxa"/>
            <w:shd w:val="clear" w:color="auto" w:fill="auto"/>
          </w:tcPr>
          <w:p w:rsidR="00E96DCB" w:rsidRPr="00634664" w:rsidRDefault="00E96DCB" w:rsidP="00A1044D">
            <w:pPr>
              <w:jc w:val="center"/>
            </w:pPr>
          </w:p>
        </w:tc>
      </w:tr>
      <w:tr w:rsidR="00E96DCB" w:rsidRPr="00634664" w:rsidTr="00A1044D">
        <w:trPr>
          <w:trHeight w:val="245"/>
        </w:trPr>
        <w:tc>
          <w:tcPr>
            <w:tcW w:w="5661" w:type="dxa"/>
            <w:shd w:val="clear" w:color="auto" w:fill="auto"/>
          </w:tcPr>
          <w:p w:rsidR="00E96DCB" w:rsidRPr="00634664" w:rsidRDefault="00E96DCB" w:rsidP="00A1044D">
            <w:pPr>
              <w:pStyle w:val="u"/>
              <w:ind w:firstLine="0"/>
              <w:jc w:val="center"/>
              <w:rPr>
                <w:rFonts w:cs="Times New Roman"/>
                <w:i/>
                <w:color w:val="auto"/>
                <w:sz w:val="20"/>
                <w:szCs w:val="20"/>
              </w:rPr>
            </w:pPr>
            <w:r w:rsidRPr="00634664">
              <w:rPr>
                <w:rFonts w:cs="Times New Roman"/>
                <w:i/>
                <w:color w:val="auto"/>
                <w:sz w:val="20"/>
                <w:szCs w:val="20"/>
              </w:rPr>
              <w:t>Земельные участки (территории) общего пользования (12.0)</w:t>
            </w:r>
          </w:p>
        </w:tc>
        <w:tc>
          <w:tcPr>
            <w:tcW w:w="4262"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Не устанавливаются</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i/>
                <w:color w:val="auto"/>
                <w:sz w:val="20"/>
                <w:szCs w:val="20"/>
              </w:rPr>
            </w:pPr>
            <w:r w:rsidRPr="00634664">
              <w:rPr>
                <w:rFonts w:cs="Times New Roman"/>
                <w:i/>
                <w:color w:val="auto"/>
                <w:sz w:val="20"/>
                <w:szCs w:val="20"/>
              </w:rPr>
              <w:t>Ведение огородничества (13.1)</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9923" w:type="dxa"/>
            <w:gridSpan w:val="2"/>
            <w:shd w:val="clear" w:color="auto" w:fill="auto"/>
          </w:tcPr>
          <w:p w:rsidR="00E96DCB" w:rsidRPr="00634664" w:rsidRDefault="00E96DCB" w:rsidP="00A1044D">
            <w:pPr>
              <w:jc w:val="center"/>
            </w:pPr>
            <w:r w:rsidRPr="00634664">
              <w:rPr>
                <w:b/>
              </w:rPr>
              <w:t>Условно разрешенные виды использования</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Рынки (4.3)</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Магазины (4.4)</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Общественное питание (4.6)</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5661" w:type="dxa"/>
            <w:shd w:val="clear" w:color="auto" w:fill="auto"/>
          </w:tcPr>
          <w:p w:rsidR="00E96DCB" w:rsidRPr="00634664" w:rsidRDefault="00E96DCB" w:rsidP="00A1044D">
            <w:pPr>
              <w:pStyle w:val="u"/>
              <w:ind w:firstLine="0"/>
              <w:jc w:val="center"/>
              <w:rPr>
                <w:rFonts w:cs="Times New Roman"/>
                <w:color w:val="auto"/>
                <w:sz w:val="20"/>
                <w:szCs w:val="20"/>
              </w:rPr>
            </w:pPr>
            <w:r w:rsidRPr="00634664">
              <w:rPr>
                <w:rFonts w:cs="Times New Roman"/>
                <w:color w:val="auto"/>
                <w:sz w:val="20"/>
                <w:szCs w:val="20"/>
              </w:rPr>
              <w:t>Гостиничное обслуживание (4.7)</w:t>
            </w:r>
          </w:p>
        </w:tc>
        <w:tc>
          <w:tcPr>
            <w:tcW w:w="4262" w:type="dxa"/>
            <w:shd w:val="clear" w:color="auto" w:fill="auto"/>
          </w:tcPr>
          <w:p w:rsidR="00E96DCB" w:rsidRPr="00634664" w:rsidRDefault="00E96DCB" w:rsidP="00A1044D">
            <w:pPr>
              <w:jc w:val="center"/>
            </w:pPr>
            <w:r w:rsidRPr="00634664">
              <w:t>Прим. 1</w:t>
            </w:r>
          </w:p>
        </w:tc>
      </w:tr>
      <w:tr w:rsidR="00E96DCB" w:rsidRPr="00634664" w:rsidTr="00A1044D">
        <w:trPr>
          <w:trHeight w:val="206"/>
        </w:trPr>
        <w:tc>
          <w:tcPr>
            <w:tcW w:w="9923" w:type="dxa"/>
            <w:gridSpan w:val="2"/>
            <w:shd w:val="clear" w:color="auto" w:fill="auto"/>
          </w:tcPr>
          <w:p w:rsidR="00E96DCB" w:rsidRPr="00634664" w:rsidRDefault="00E96DCB" w:rsidP="00A1044D">
            <w:pPr>
              <w:jc w:val="center"/>
            </w:pPr>
            <w:r w:rsidRPr="00634664">
              <w:rPr>
                <w:b/>
              </w:rPr>
              <w:t>Вспомогательные виды разрешенного использования</w:t>
            </w:r>
          </w:p>
        </w:tc>
      </w:tr>
      <w:tr w:rsidR="00E96DCB" w:rsidRPr="00634664" w:rsidTr="00A1044D">
        <w:trPr>
          <w:trHeight w:val="206"/>
        </w:trPr>
        <w:tc>
          <w:tcPr>
            <w:tcW w:w="9923" w:type="dxa"/>
            <w:gridSpan w:val="2"/>
            <w:shd w:val="clear" w:color="auto" w:fill="auto"/>
          </w:tcPr>
          <w:p w:rsidR="00E96DCB" w:rsidRPr="00634664" w:rsidRDefault="00E96DCB" w:rsidP="00A1044D">
            <w:pPr>
              <w:pStyle w:val="u"/>
              <w:ind w:firstLine="0"/>
              <w:jc w:val="center"/>
              <w:rPr>
                <w:rFonts w:cs="Times New Roman"/>
                <w:sz w:val="20"/>
                <w:szCs w:val="20"/>
              </w:rPr>
            </w:pPr>
            <w:r w:rsidRPr="00634664">
              <w:rPr>
                <w:rFonts w:cs="Times New Roman"/>
                <w:color w:val="auto"/>
                <w:sz w:val="20"/>
                <w:szCs w:val="20"/>
              </w:rPr>
              <w:t>Не устанавливаются</w:t>
            </w:r>
          </w:p>
        </w:tc>
      </w:tr>
    </w:tbl>
    <w:p w:rsidR="00E96DCB" w:rsidRPr="00634664" w:rsidRDefault="00E96DCB" w:rsidP="00E96DCB">
      <w:pPr>
        <w:ind w:left="709"/>
      </w:pPr>
      <w:r w:rsidRPr="00634664">
        <w:t>Примечания:</w:t>
      </w:r>
    </w:p>
    <w:p w:rsidR="00E96DCB" w:rsidRPr="00634664" w:rsidRDefault="00E96DCB" w:rsidP="00E96DCB">
      <w:pPr>
        <w:autoSpaceDE w:val="0"/>
        <w:autoSpaceDN w:val="0"/>
        <w:adjustRightInd w:val="0"/>
        <w:ind w:firstLine="709"/>
        <w:jc w:val="both"/>
        <w:rPr>
          <w:lang w:bidi="ru-RU"/>
        </w:rPr>
      </w:pPr>
      <w:r w:rsidRPr="00634664">
        <w:t xml:space="preserve">1. </w:t>
      </w:r>
      <w:r w:rsidRPr="00634664">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E96DCB" w:rsidRPr="00634664" w:rsidRDefault="00E96DCB" w:rsidP="00E96DCB">
      <w:pPr>
        <w:ind w:firstLine="567"/>
        <w:jc w:val="both"/>
      </w:pPr>
      <w:r w:rsidRPr="00634664">
        <w:t xml:space="preserve">Размеры земельных участков организаций, учреждений и предприятий обслуживания принимаются в соответствии с </w:t>
      </w:r>
      <w:r w:rsidRPr="00634664">
        <w:rPr>
          <w:rFonts w:eastAsia="Calibri"/>
        </w:rPr>
        <w:t>СП 42.13330.2016</w:t>
      </w:r>
      <w:r w:rsidRPr="00634664">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E96DCB" w:rsidRPr="00634664" w:rsidRDefault="00E96DCB" w:rsidP="00E96DCB">
      <w:pPr>
        <w:pStyle w:val="u"/>
        <w:ind w:firstLine="709"/>
        <w:rPr>
          <w:rFonts w:cs="Times New Roman"/>
          <w:sz w:val="20"/>
          <w:szCs w:val="20"/>
        </w:rPr>
      </w:pPr>
      <w:r w:rsidRPr="00634664">
        <w:rPr>
          <w:rFonts w:cs="Times New Roman"/>
          <w:color w:val="auto"/>
          <w:sz w:val="20"/>
          <w:szCs w:val="20"/>
        </w:rPr>
        <w:t xml:space="preserve">Предельные параметры разрешенного строительства, реконструкции объектов капитального строительства </w:t>
      </w:r>
      <w:r w:rsidRPr="00634664">
        <w:rPr>
          <w:rFonts w:cs="Times New Roman"/>
          <w:b/>
          <w:color w:val="auto"/>
          <w:sz w:val="20"/>
          <w:szCs w:val="20"/>
        </w:rPr>
        <w:t>зоны периферийной усадебной застройки УСЖ</w:t>
      </w:r>
      <w:r w:rsidRPr="00634664">
        <w:rPr>
          <w:rFonts w:cs="Times New Roman"/>
          <w:color w:val="auto"/>
          <w:sz w:val="20"/>
          <w:szCs w:val="20"/>
        </w:rPr>
        <w:t xml:space="preserve"> приведены в таблице 4.1.</w:t>
      </w:r>
    </w:p>
    <w:p w:rsidR="00E96DCB" w:rsidRPr="00634664" w:rsidRDefault="00E96DCB" w:rsidP="00E96DCB">
      <w:pPr>
        <w:autoSpaceDE w:val="0"/>
        <w:autoSpaceDN w:val="0"/>
        <w:adjustRightInd w:val="0"/>
        <w:ind w:firstLine="540"/>
        <w:jc w:val="right"/>
        <w:rPr>
          <w:b/>
          <w:bCs/>
          <w:noProof/>
        </w:rPr>
      </w:pPr>
      <w:r w:rsidRPr="00634664">
        <w:t>Таблица 4.1</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8"/>
        <w:gridCol w:w="3969"/>
        <w:gridCol w:w="5036"/>
      </w:tblGrid>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b/>
                <w:sz w:val="20"/>
              </w:rPr>
            </w:pPr>
            <w:r w:rsidRPr="00634664">
              <w:rPr>
                <w:rFonts w:ascii="Times New Roman" w:hAnsi="Times New Roman" w:cs="Times New Roman"/>
                <w:b/>
                <w:sz w:val="20"/>
              </w:rPr>
              <w:t>№ п/п</w:t>
            </w:r>
          </w:p>
        </w:tc>
        <w:tc>
          <w:tcPr>
            <w:tcW w:w="3969" w:type="dxa"/>
            <w:shd w:val="clear" w:color="auto" w:fill="auto"/>
          </w:tcPr>
          <w:p w:rsidR="00E96DCB" w:rsidRPr="00634664" w:rsidRDefault="00E96DCB" w:rsidP="00A1044D">
            <w:pPr>
              <w:pStyle w:val="ConsPlusNormal"/>
              <w:jc w:val="center"/>
              <w:rPr>
                <w:rFonts w:ascii="Times New Roman" w:hAnsi="Times New Roman" w:cs="Times New Roman"/>
                <w:b/>
                <w:sz w:val="20"/>
              </w:rPr>
            </w:pPr>
            <w:r w:rsidRPr="00634664">
              <w:rPr>
                <w:rFonts w:ascii="Times New Roman" w:hAnsi="Times New Roman" w:cs="Times New Roman"/>
                <w:b/>
                <w:sz w:val="20"/>
              </w:rPr>
              <w:t>Наименование характеристик и показателей, отражающих требования к содержанию градостроительного регламента</w:t>
            </w:r>
          </w:p>
        </w:tc>
        <w:tc>
          <w:tcPr>
            <w:tcW w:w="5036" w:type="dxa"/>
            <w:shd w:val="clear" w:color="auto" w:fill="auto"/>
          </w:tcPr>
          <w:p w:rsidR="00E96DCB" w:rsidRPr="00634664" w:rsidRDefault="00E96DCB" w:rsidP="00A1044D">
            <w:pPr>
              <w:pStyle w:val="ConsPlusNormal"/>
              <w:ind w:left="80"/>
              <w:jc w:val="center"/>
              <w:rPr>
                <w:rFonts w:ascii="Times New Roman" w:hAnsi="Times New Roman" w:cs="Times New Roman"/>
                <w:b/>
                <w:sz w:val="20"/>
              </w:rPr>
            </w:pPr>
            <w:r w:rsidRPr="00634664">
              <w:rPr>
                <w:rFonts w:ascii="Times New Roman" w:hAnsi="Times New Roman" w:cs="Times New Roman"/>
                <w:b/>
                <w:sz w:val="20"/>
              </w:rPr>
              <w:t>Значения характеристик и показателей</w:t>
            </w:r>
          </w:p>
        </w:tc>
      </w:tr>
      <w:tr w:rsidR="00E96DCB" w:rsidRPr="00634664" w:rsidTr="00A1044D">
        <w:tc>
          <w:tcPr>
            <w:tcW w:w="918" w:type="dxa"/>
            <w:shd w:val="clear" w:color="auto" w:fill="auto"/>
          </w:tcPr>
          <w:p w:rsidR="00E96DCB" w:rsidRPr="00634664" w:rsidRDefault="00E96DCB" w:rsidP="00A1044D">
            <w:pPr>
              <w:pStyle w:val="ConsPlusNormal"/>
              <w:tabs>
                <w:tab w:val="left" w:pos="314"/>
              </w:tabs>
              <w:jc w:val="center"/>
              <w:rPr>
                <w:rFonts w:ascii="Times New Roman" w:hAnsi="Times New Roman" w:cs="Times New Roman"/>
                <w:sz w:val="20"/>
              </w:rPr>
            </w:pPr>
            <w:r w:rsidRPr="00634664">
              <w:rPr>
                <w:rFonts w:ascii="Times New Roman" w:hAnsi="Times New Roman" w:cs="Times New Roman"/>
                <w:sz w:val="20"/>
              </w:rPr>
              <w:t>1</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Сохраняемый или возобновляемый исторический композиционно-пространственный тип застройки</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1 - 2-этажная традиционная деревянная, смешанная и каменная застройка</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2</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Протяженность участка вдоль уличного фронта</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20 - 35 м</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3</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Характер организации уличного фронта</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Дом, калитка, ворота, ограда, хозяйственная постройка</w:t>
            </w:r>
          </w:p>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Дом, калитка, ворота, ограда</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4</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Максимальный процент застройки земельного участка</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Не более 15 процентов</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5</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Максимальная площадь застройки отдельно стоящего объекта</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Не более 300 кв. м</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6</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Максимальная площадь застройки прочих зданий и сооружений (пристройки, навесы, хозяйственные и временные сооружения)</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50 кв. м</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7</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Минимальный процент площади озеленения земельного участка</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50 процентов</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8</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Максимальная протяженность фасада вдоль улицы</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Не более 11 м</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lastRenderedPageBreak/>
              <w:t>9</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Минимальный размер интервалов в уличном фронте застройки</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Не менее 10 м</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10</w:t>
            </w:r>
          </w:p>
        </w:tc>
        <w:tc>
          <w:tcPr>
            <w:tcW w:w="3969" w:type="dxa"/>
            <w:shd w:val="clear" w:color="auto" w:fill="auto"/>
          </w:tcPr>
          <w:p w:rsidR="00E96DCB" w:rsidRPr="00634664" w:rsidRDefault="00E96DCB" w:rsidP="00A1044D">
            <w:pPr>
              <w:pStyle w:val="ConsPlusNormal"/>
              <w:rPr>
                <w:rFonts w:ascii="Times New Roman" w:hAnsi="Times New Roman" w:cs="Times New Roman"/>
                <w:sz w:val="20"/>
                <w:vertAlign w:val="superscript"/>
              </w:rPr>
            </w:pPr>
            <w:r w:rsidRPr="00634664">
              <w:rPr>
                <w:rFonts w:ascii="Times New Roman" w:hAnsi="Times New Roman" w:cs="Times New Roman"/>
                <w:sz w:val="20"/>
              </w:rPr>
              <w:t>Отступ объекта капитального строительства от охраняемых линий застройки</w:t>
            </w:r>
            <w:r w:rsidRPr="00634664">
              <w:rPr>
                <w:rFonts w:ascii="Times New Roman" w:hAnsi="Times New Roman" w:cs="Times New Roman"/>
                <w:sz w:val="20"/>
                <w:vertAlign w:val="superscript"/>
              </w:rPr>
              <w:t>1</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Без отступа.</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11</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Максимальная этажность</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Не более 2 этажей, 2-ой этаж мезонин</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12</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Максимальная высота от существующего уровня земли до конька кровли</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Не более 8 м</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13</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Максимальная высота застройки прочих зданий и сооружений (пристройки, навесы, хозяйственные и временные сооружения)</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Не более 4 м</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14</w:t>
            </w:r>
          </w:p>
        </w:tc>
        <w:tc>
          <w:tcPr>
            <w:tcW w:w="3969" w:type="dxa"/>
            <w:shd w:val="clear" w:color="auto" w:fill="auto"/>
          </w:tcPr>
          <w:p w:rsidR="00E96DCB" w:rsidRPr="00634664" w:rsidRDefault="00E96DCB" w:rsidP="00A1044D">
            <w:pPr>
              <w:pStyle w:val="ConsPlusNormal"/>
              <w:rPr>
                <w:rFonts w:ascii="Times New Roman" w:hAnsi="Times New Roman" w:cs="Times New Roman"/>
                <w:sz w:val="20"/>
                <w:vertAlign w:val="superscript"/>
              </w:rPr>
            </w:pPr>
            <w:r w:rsidRPr="00634664">
              <w:rPr>
                <w:rFonts w:ascii="Times New Roman" w:hAnsi="Times New Roman" w:cs="Times New Roman"/>
                <w:sz w:val="20"/>
              </w:rPr>
              <w:t>Композиционные схемы главных фасадов основных типов исторической застройки</w:t>
            </w:r>
            <w:r w:rsidRPr="00634664">
              <w:rPr>
                <w:rFonts w:ascii="Times New Roman" w:hAnsi="Times New Roman" w:cs="Times New Roman"/>
                <w:sz w:val="20"/>
                <w:vertAlign w:val="superscript"/>
              </w:rPr>
              <w:t>2</w:t>
            </w:r>
          </w:p>
        </w:tc>
        <w:tc>
          <w:tcPr>
            <w:tcW w:w="5036" w:type="dxa"/>
            <w:shd w:val="clear" w:color="auto" w:fill="auto"/>
          </w:tcPr>
          <w:p w:rsidR="00E96DCB" w:rsidRPr="00634664" w:rsidRDefault="00CE00C0" w:rsidP="00A1044D">
            <w:pPr>
              <w:pStyle w:val="ConsPlusNormal"/>
              <w:jc w:val="both"/>
              <w:rPr>
                <w:rFonts w:ascii="Times New Roman" w:hAnsi="Times New Roman" w:cs="Times New Roman"/>
                <w:sz w:val="20"/>
              </w:rPr>
            </w:pPr>
            <w:hyperlink w:anchor="P3178" w:history="1">
              <w:r w:rsidR="00E96DCB" w:rsidRPr="00634664">
                <w:rPr>
                  <w:rFonts w:ascii="Times New Roman" w:hAnsi="Times New Roman" w:cs="Times New Roman"/>
                  <w:sz w:val="20"/>
                </w:rPr>
                <w:t>1.2</w:t>
              </w:r>
            </w:hyperlink>
            <w:r w:rsidR="00E96DCB" w:rsidRPr="00634664">
              <w:rPr>
                <w:rFonts w:ascii="Times New Roman" w:hAnsi="Times New Roman" w:cs="Times New Roman"/>
                <w:sz w:val="20"/>
              </w:rPr>
              <w:t xml:space="preserve">, </w:t>
            </w:r>
            <w:hyperlink w:anchor="P3179" w:history="1">
              <w:r w:rsidR="00E96DCB" w:rsidRPr="00634664">
                <w:rPr>
                  <w:rFonts w:ascii="Times New Roman" w:hAnsi="Times New Roman" w:cs="Times New Roman"/>
                  <w:sz w:val="20"/>
                </w:rPr>
                <w:t>1.2 пр</w:t>
              </w:r>
            </w:hyperlink>
            <w:r w:rsidR="00E96DCB" w:rsidRPr="00634664">
              <w:rPr>
                <w:rFonts w:ascii="Times New Roman" w:hAnsi="Times New Roman" w:cs="Times New Roman"/>
                <w:sz w:val="20"/>
              </w:rPr>
              <w:t xml:space="preserve">., </w:t>
            </w:r>
            <w:hyperlink w:anchor="P3197" w:history="1">
              <w:r w:rsidR="00E96DCB" w:rsidRPr="00634664">
                <w:rPr>
                  <w:rFonts w:ascii="Times New Roman" w:hAnsi="Times New Roman" w:cs="Times New Roman"/>
                  <w:sz w:val="20"/>
                </w:rPr>
                <w:t>1.3</w:t>
              </w:r>
            </w:hyperlink>
            <w:r w:rsidR="00E96DCB" w:rsidRPr="00634664">
              <w:rPr>
                <w:rFonts w:ascii="Times New Roman" w:hAnsi="Times New Roman" w:cs="Times New Roman"/>
                <w:sz w:val="20"/>
              </w:rPr>
              <w:t xml:space="preserve">, </w:t>
            </w:r>
            <w:hyperlink w:anchor="P3215" w:history="1">
              <w:r w:rsidR="00E96DCB" w:rsidRPr="00634664">
                <w:rPr>
                  <w:rFonts w:ascii="Times New Roman" w:hAnsi="Times New Roman" w:cs="Times New Roman"/>
                  <w:sz w:val="20"/>
                </w:rPr>
                <w:t>1.3м</w:t>
              </w:r>
            </w:hyperlink>
            <w:r w:rsidR="00E96DCB" w:rsidRPr="00634664">
              <w:rPr>
                <w:rFonts w:ascii="Times New Roman" w:hAnsi="Times New Roman" w:cs="Times New Roman"/>
                <w:sz w:val="20"/>
              </w:rPr>
              <w:t xml:space="preserve">., </w:t>
            </w:r>
            <w:hyperlink w:anchor="P3216" w:history="1">
              <w:r w:rsidR="00E96DCB" w:rsidRPr="00634664">
                <w:rPr>
                  <w:rFonts w:ascii="Times New Roman" w:hAnsi="Times New Roman" w:cs="Times New Roman"/>
                  <w:sz w:val="20"/>
                </w:rPr>
                <w:t>1.3м.б</w:t>
              </w:r>
            </w:hyperlink>
            <w:r w:rsidR="00E96DCB" w:rsidRPr="00634664">
              <w:rPr>
                <w:rFonts w:ascii="Times New Roman" w:hAnsi="Times New Roman" w:cs="Times New Roman"/>
                <w:sz w:val="20"/>
              </w:rPr>
              <w:t xml:space="preserve">., </w:t>
            </w:r>
            <w:hyperlink w:anchor="P3253" w:history="1">
              <w:r w:rsidR="00E96DCB" w:rsidRPr="00634664">
                <w:rPr>
                  <w:rFonts w:ascii="Times New Roman" w:hAnsi="Times New Roman" w:cs="Times New Roman"/>
                  <w:sz w:val="20"/>
                </w:rPr>
                <w:t>1.3пп</w:t>
              </w:r>
            </w:hyperlink>
            <w:r w:rsidR="00E96DCB" w:rsidRPr="00634664">
              <w:rPr>
                <w:rFonts w:ascii="Times New Roman" w:hAnsi="Times New Roman" w:cs="Times New Roman"/>
                <w:sz w:val="20"/>
              </w:rPr>
              <w:t xml:space="preserve">., </w:t>
            </w:r>
            <w:hyperlink w:anchor="P3217" w:history="1">
              <w:r w:rsidR="00E96DCB" w:rsidRPr="00634664">
                <w:rPr>
                  <w:rFonts w:ascii="Times New Roman" w:hAnsi="Times New Roman" w:cs="Times New Roman"/>
                  <w:sz w:val="20"/>
                </w:rPr>
                <w:t>1.3пр</w:t>
              </w:r>
            </w:hyperlink>
            <w:r w:rsidR="00E96DCB" w:rsidRPr="00634664">
              <w:rPr>
                <w:rFonts w:ascii="Times New Roman" w:hAnsi="Times New Roman" w:cs="Times New Roman"/>
                <w:sz w:val="20"/>
              </w:rPr>
              <w:t xml:space="preserve">., </w:t>
            </w:r>
            <w:hyperlink w:anchor="P3254" w:history="1">
              <w:r w:rsidR="00E96DCB" w:rsidRPr="00634664">
                <w:rPr>
                  <w:rFonts w:ascii="Times New Roman" w:hAnsi="Times New Roman" w:cs="Times New Roman"/>
                  <w:sz w:val="20"/>
                </w:rPr>
                <w:t>1.3пп.пр</w:t>
              </w:r>
            </w:hyperlink>
            <w:r w:rsidR="00E96DCB" w:rsidRPr="00634664">
              <w:rPr>
                <w:rFonts w:ascii="Times New Roman" w:hAnsi="Times New Roman" w:cs="Times New Roman"/>
                <w:sz w:val="20"/>
              </w:rPr>
              <w:t xml:space="preserve">., </w:t>
            </w:r>
            <w:hyperlink w:anchor="P3271" w:history="1">
              <w:r w:rsidR="00E96DCB" w:rsidRPr="00634664">
                <w:rPr>
                  <w:rFonts w:ascii="Times New Roman" w:hAnsi="Times New Roman" w:cs="Times New Roman"/>
                  <w:sz w:val="20"/>
                </w:rPr>
                <w:t>1.4</w:t>
              </w:r>
            </w:hyperlink>
            <w:r w:rsidR="00E96DCB" w:rsidRPr="00634664">
              <w:rPr>
                <w:rFonts w:ascii="Times New Roman" w:hAnsi="Times New Roman" w:cs="Times New Roman"/>
                <w:sz w:val="20"/>
              </w:rPr>
              <w:t xml:space="preserve">, </w:t>
            </w:r>
            <w:hyperlink w:anchor="P3272" w:history="1">
              <w:r w:rsidR="00E96DCB" w:rsidRPr="00634664">
                <w:rPr>
                  <w:rFonts w:ascii="Times New Roman" w:hAnsi="Times New Roman" w:cs="Times New Roman"/>
                  <w:sz w:val="20"/>
                </w:rPr>
                <w:t>1.4 пр</w:t>
              </w:r>
            </w:hyperlink>
            <w:r w:rsidR="00E96DCB" w:rsidRPr="00634664">
              <w:rPr>
                <w:rFonts w:ascii="Times New Roman" w:hAnsi="Times New Roman" w:cs="Times New Roman"/>
                <w:sz w:val="20"/>
              </w:rPr>
              <w:t xml:space="preserve">., </w:t>
            </w:r>
            <w:hyperlink w:anchor="P3292" w:history="1">
              <w:r w:rsidR="00E96DCB" w:rsidRPr="00634664">
                <w:rPr>
                  <w:rFonts w:ascii="Times New Roman" w:hAnsi="Times New Roman" w:cs="Times New Roman"/>
                  <w:sz w:val="20"/>
                </w:rPr>
                <w:t>1.4пп.пр</w:t>
              </w:r>
            </w:hyperlink>
            <w:r w:rsidR="00E96DCB" w:rsidRPr="00634664">
              <w:rPr>
                <w:rFonts w:ascii="Times New Roman" w:hAnsi="Times New Roman" w:cs="Times New Roman"/>
                <w:sz w:val="20"/>
              </w:rPr>
              <w:t xml:space="preserve">., </w:t>
            </w:r>
            <w:hyperlink w:anchor="P3291" w:history="1">
              <w:r w:rsidR="00E96DCB" w:rsidRPr="00634664">
                <w:rPr>
                  <w:rFonts w:ascii="Times New Roman" w:hAnsi="Times New Roman" w:cs="Times New Roman"/>
                  <w:sz w:val="20"/>
                </w:rPr>
                <w:t>1.4 б</w:t>
              </w:r>
            </w:hyperlink>
            <w:r w:rsidR="00E96DCB" w:rsidRPr="00634664">
              <w:rPr>
                <w:rFonts w:ascii="Times New Roman" w:hAnsi="Times New Roman" w:cs="Times New Roman"/>
                <w:sz w:val="20"/>
              </w:rPr>
              <w:t xml:space="preserve">., </w:t>
            </w:r>
            <w:hyperlink w:anchor="P3308" w:history="1">
              <w:r w:rsidR="00E96DCB" w:rsidRPr="00634664">
                <w:rPr>
                  <w:rFonts w:ascii="Times New Roman" w:hAnsi="Times New Roman" w:cs="Times New Roman"/>
                  <w:sz w:val="20"/>
                </w:rPr>
                <w:t>1.5</w:t>
              </w:r>
            </w:hyperlink>
            <w:r w:rsidR="00E96DCB" w:rsidRPr="00634664">
              <w:rPr>
                <w:rFonts w:ascii="Times New Roman" w:hAnsi="Times New Roman" w:cs="Times New Roman"/>
                <w:sz w:val="20"/>
              </w:rPr>
              <w:t xml:space="preserve">, </w:t>
            </w:r>
            <w:hyperlink w:anchor="P3321" w:history="1">
              <w:r w:rsidR="00E96DCB" w:rsidRPr="00634664">
                <w:rPr>
                  <w:rFonts w:ascii="Times New Roman" w:hAnsi="Times New Roman" w:cs="Times New Roman"/>
                  <w:sz w:val="20"/>
                </w:rPr>
                <w:t>1.5пр</w:t>
              </w:r>
            </w:hyperlink>
            <w:r w:rsidR="00E96DCB" w:rsidRPr="00634664">
              <w:rPr>
                <w:rFonts w:ascii="Times New Roman" w:hAnsi="Times New Roman" w:cs="Times New Roman"/>
                <w:sz w:val="20"/>
              </w:rPr>
              <w:t xml:space="preserve">., </w:t>
            </w:r>
            <w:hyperlink w:anchor="P3322" w:history="1">
              <w:r w:rsidR="00E96DCB" w:rsidRPr="00634664">
                <w:rPr>
                  <w:rFonts w:ascii="Times New Roman" w:hAnsi="Times New Roman" w:cs="Times New Roman"/>
                  <w:sz w:val="20"/>
                </w:rPr>
                <w:t>1.5м</w:t>
              </w:r>
            </w:hyperlink>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15</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Архитектурно-стилевое решение (в том числе особенности оформления фасадов)</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Архитектурный стиль: традиционная застройка сер. XX в. с использованием мотивов деревянного модерна, русского стиля, деревянного узорочья с применением метрических и пропорциональных элементов фасадов, характерных для Тутаева XIX - начала XX вв.</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16</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Объемно-пространственные и силуэтные характеристики (в том числе угол наклона кровли, мезонин, слуховые окна, фронтоны)</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Крыши вальмовые с углом наклона 20 - 30, вальмовые с выдвижным слуховым окном, с углом наклона 30 градусов или двускатные без перелома, с углом наклона 30 - 40 градусов</w:t>
            </w:r>
          </w:p>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Детали - наличники, карнизы, пилоны, мезонины, слуховые окна, иные элементы соответствующего стиля</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17</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Основные отделочные материалы, заполнение оконных проемов</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Стены - деревянный сруб, камень, кирпич с последующей штукатуркой и окраской</w:t>
            </w:r>
          </w:p>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Кровля - преимущественно, листовой непрофилированный металл с соединением фальцем</w:t>
            </w:r>
          </w:p>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Заполнение оконных проемов - деревянные рамы, деревянные стеклопакеты с повторением традиционной расстекловки оконных проемов</w:t>
            </w:r>
          </w:p>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Заполнение наружных дверных проемов - металлические с деревянной отделкой, деревянные двери как элементы соответствующего архитектурного стиля</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18</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Цветовое решение</w:t>
            </w:r>
          </w:p>
        </w:tc>
        <w:tc>
          <w:tcPr>
            <w:tcW w:w="5036"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Окраска деревянных домов: сруб без окраски, деревянная профилированная рейка с натуральными оттенками древесины или окрашенная в цвета: бордовый, зеленый, охра, в пастельные тона: салатовый, голубой, охра. Детали белые</w:t>
            </w:r>
          </w:p>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Цоколь: окраска в белый, темно-серый и коричневый цвета</w:t>
            </w:r>
          </w:p>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Кровля: окраска в красно-коричневые (сурик), темно-зеленые, оттенки серого</w:t>
            </w:r>
          </w:p>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Не допускаются покрытия с высокой отражающей способностью, за исключением покрытий культовых зданий и сооружений</w:t>
            </w:r>
          </w:p>
        </w:tc>
      </w:tr>
      <w:tr w:rsidR="00E96DCB" w:rsidRPr="00634664" w:rsidTr="00A1044D">
        <w:tc>
          <w:tcPr>
            <w:tcW w:w="918" w:type="dxa"/>
            <w:shd w:val="clear" w:color="auto" w:fill="auto"/>
          </w:tcPr>
          <w:p w:rsidR="00E96DCB" w:rsidRPr="00634664" w:rsidRDefault="00E96DCB" w:rsidP="00A1044D">
            <w:pPr>
              <w:pStyle w:val="ConsPlusNormal"/>
              <w:jc w:val="center"/>
              <w:rPr>
                <w:rFonts w:ascii="Times New Roman" w:hAnsi="Times New Roman" w:cs="Times New Roman"/>
                <w:sz w:val="20"/>
              </w:rPr>
            </w:pPr>
            <w:r w:rsidRPr="00634664">
              <w:rPr>
                <w:rFonts w:ascii="Times New Roman" w:hAnsi="Times New Roman" w:cs="Times New Roman"/>
                <w:sz w:val="20"/>
              </w:rPr>
              <w:t>19</w:t>
            </w:r>
          </w:p>
        </w:tc>
        <w:tc>
          <w:tcPr>
            <w:tcW w:w="3969" w:type="dxa"/>
            <w:shd w:val="clear" w:color="auto" w:fill="auto"/>
          </w:tcPr>
          <w:p w:rsidR="00E96DCB" w:rsidRPr="00634664" w:rsidRDefault="00E96DCB" w:rsidP="00A1044D">
            <w:pPr>
              <w:pStyle w:val="ConsPlusNormal"/>
              <w:rPr>
                <w:rFonts w:ascii="Times New Roman" w:hAnsi="Times New Roman" w:cs="Times New Roman"/>
                <w:sz w:val="20"/>
              </w:rPr>
            </w:pPr>
            <w:r w:rsidRPr="00634664">
              <w:rPr>
                <w:rFonts w:ascii="Times New Roman" w:hAnsi="Times New Roman" w:cs="Times New Roman"/>
                <w:sz w:val="20"/>
              </w:rPr>
              <w:t>Элементы благоустройства, в том числе ограды, малые архитектурные формы</w:t>
            </w:r>
          </w:p>
        </w:tc>
        <w:tc>
          <w:tcPr>
            <w:tcW w:w="5036" w:type="dxa"/>
            <w:shd w:val="clear" w:color="auto" w:fill="auto"/>
          </w:tcPr>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Максимальная высота ограждений земельных участков по красной линии до 2 м. Ограждения, ворота, калитки должны быть выполнены в традиционных для исторической застройки формах и материалах: деревянный сплошной забор по деревянным либо каменным столбам или штакетник; без окраски или окрашенный в сочетании с цветом здания</w:t>
            </w:r>
          </w:p>
          <w:p w:rsidR="00E96DCB" w:rsidRPr="00634664" w:rsidRDefault="00E96DCB" w:rsidP="00A1044D">
            <w:pPr>
              <w:pStyle w:val="ConsPlusNormal"/>
              <w:jc w:val="both"/>
              <w:rPr>
                <w:rFonts w:ascii="Times New Roman" w:hAnsi="Times New Roman" w:cs="Times New Roman"/>
                <w:sz w:val="20"/>
              </w:rPr>
            </w:pPr>
            <w:r w:rsidRPr="00634664">
              <w:rPr>
                <w:rFonts w:ascii="Times New Roman" w:hAnsi="Times New Roman" w:cs="Times New Roman"/>
                <w:sz w:val="20"/>
              </w:rPr>
              <w:t>Не допускается применение ограждений по красной линии застройки из профилированных листов и сборных железобетонных элементов</w:t>
            </w:r>
          </w:p>
        </w:tc>
      </w:tr>
    </w:tbl>
    <w:p w:rsidR="00E96DCB" w:rsidRPr="00634664" w:rsidRDefault="00E96DCB" w:rsidP="00E96DCB">
      <w:pPr>
        <w:pStyle w:val="ConsPlusNormal"/>
        <w:jc w:val="both"/>
        <w:rPr>
          <w:rFonts w:ascii="Times New Roman" w:hAnsi="Times New Roman" w:cs="Times New Roman"/>
          <w:sz w:val="20"/>
        </w:rPr>
      </w:pPr>
      <w:r w:rsidRPr="00634664">
        <w:rPr>
          <w:rFonts w:ascii="Times New Roman" w:hAnsi="Times New Roman" w:cs="Times New Roman"/>
          <w:sz w:val="20"/>
          <w:vertAlign w:val="superscript"/>
        </w:rPr>
        <w:lastRenderedPageBreak/>
        <w:t xml:space="preserve">1 </w:t>
      </w:r>
      <w:r w:rsidRPr="00634664">
        <w:rPr>
          <w:rFonts w:ascii="Times New Roman" w:hAnsi="Times New Roman" w:cs="Times New Roman"/>
          <w:sz w:val="20"/>
        </w:rPr>
        <w:t xml:space="preserve">Охраняемые красные линии застройки приведены в </w:t>
      </w:r>
      <w:hyperlink w:anchor="P3171" w:history="1">
        <w:r w:rsidRPr="00634664">
          <w:rPr>
            <w:rFonts w:ascii="Times New Roman" w:hAnsi="Times New Roman" w:cs="Times New Roman"/>
            <w:sz w:val="20"/>
          </w:rPr>
          <w:t>приложении</w:t>
        </w:r>
      </w:hyperlink>
      <w:r w:rsidRPr="00634664">
        <w:rPr>
          <w:rFonts w:ascii="Times New Roman" w:hAnsi="Times New Roman" w:cs="Times New Roman"/>
          <w:sz w:val="20"/>
        </w:rPr>
        <w:t xml:space="preserve"> № 5 к Приказу Минкультуры России от 14.01.2019 г. № 16.</w:t>
      </w:r>
    </w:p>
    <w:p w:rsidR="00E96DCB" w:rsidRPr="00634664" w:rsidRDefault="00E96DCB" w:rsidP="00E96DCB">
      <w:pPr>
        <w:pStyle w:val="ConsPlusNormal"/>
        <w:jc w:val="both"/>
        <w:rPr>
          <w:rFonts w:ascii="Times New Roman" w:hAnsi="Times New Roman" w:cs="Times New Roman"/>
          <w:sz w:val="20"/>
        </w:rPr>
      </w:pPr>
      <w:r w:rsidRPr="00634664">
        <w:rPr>
          <w:rFonts w:ascii="Times New Roman" w:hAnsi="Times New Roman" w:cs="Times New Roman"/>
          <w:bCs/>
          <w:noProof/>
          <w:sz w:val="20"/>
          <w:vertAlign w:val="superscript"/>
        </w:rPr>
        <w:t>2</w:t>
      </w:r>
      <w:r w:rsidRPr="00634664">
        <w:rPr>
          <w:rFonts w:ascii="Times New Roman" w:hAnsi="Times New Roman" w:cs="Times New Roman"/>
          <w:sz w:val="20"/>
        </w:rPr>
        <w:t xml:space="preserve">Композиционные схемы главных фасадов основных типов исторической застройки приведены в </w:t>
      </w:r>
      <w:hyperlink w:anchor="P3171" w:history="1">
        <w:r w:rsidRPr="00634664">
          <w:rPr>
            <w:rFonts w:ascii="Times New Roman" w:hAnsi="Times New Roman" w:cs="Times New Roman"/>
            <w:sz w:val="20"/>
          </w:rPr>
          <w:t>приложении</w:t>
        </w:r>
      </w:hyperlink>
      <w:r w:rsidRPr="00634664">
        <w:rPr>
          <w:rFonts w:ascii="Times New Roman" w:hAnsi="Times New Roman" w:cs="Times New Roman"/>
          <w:sz w:val="20"/>
        </w:rPr>
        <w:t xml:space="preserve"> № 4 к Приказу Минкультуры России от 14.01.2019 г. № 16.</w:t>
      </w:r>
    </w:p>
    <w:p w:rsidR="00E96DCB" w:rsidRPr="00634664" w:rsidRDefault="00E96DCB" w:rsidP="00E96DCB">
      <w:pPr>
        <w:autoSpaceDE w:val="0"/>
        <w:autoSpaceDN w:val="0"/>
        <w:adjustRightInd w:val="0"/>
        <w:ind w:firstLine="709"/>
        <w:jc w:val="both"/>
      </w:pPr>
      <w:r w:rsidRPr="00634664">
        <w:t>Примечания:</w:t>
      </w:r>
    </w:p>
    <w:p w:rsidR="00E96DCB" w:rsidRPr="00634664" w:rsidRDefault="00E96DCB" w:rsidP="00E96DCB">
      <w:pPr>
        <w:autoSpaceDE w:val="0"/>
        <w:autoSpaceDN w:val="0"/>
        <w:adjustRightInd w:val="0"/>
        <w:ind w:firstLine="709"/>
        <w:jc w:val="both"/>
      </w:pPr>
      <w:r w:rsidRPr="00634664">
        <w:t xml:space="preserve">1. Для видов разрешенного использования земельных участков с кодами 2.1, 2.3: </w:t>
      </w:r>
    </w:p>
    <w:p w:rsidR="00E96DCB" w:rsidRPr="00634664" w:rsidRDefault="00E96DCB" w:rsidP="00E96DCB">
      <w:pPr>
        <w:autoSpaceDE w:val="0"/>
        <w:autoSpaceDN w:val="0"/>
        <w:adjustRightInd w:val="0"/>
        <w:ind w:firstLine="709"/>
        <w:jc w:val="both"/>
        <w:rPr>
          <w:rFonts w:eastAsia="Calibri"/>
        </w:rPr>
      </w:pPr>
      <w:r w:rsidRPr="00634664">
        <w:rPr>
          <w:rFonts w:eastAsia="Calibri"/>
        </w:rPr>
        <w:t xml:space="preserve">При наличии </w:t>
      </w:r>
      <w:r w:rsidRPr="00634664">
        <w:t>охраняемых красных линий застройки р</w:t>
      </w:r>
      <w:r w:rsidRPr="00634664">
        <w:rPr>
          <w:rFonts w:eastAsia="Calibri"/>
        </w:rPr>
        <w:t>асстояние от индивидуального жилого дома, жилого дома блокированной застройки до границы соседнего земельного участка вдоль уличного фронта должно быть не менее 5 м.</w:t>
      </w:r>
    </w:p>
    <w:p w:rsidR="00E96DCB" w:rsidRPr="00634664" w:rsidRDefault="00E96DCB" w:rsidP="00E96DCB">
      <w:pPr>
        <w:autoSpaceDE w:val="0"/>
        <w:autoSpaceDN w:val="0"/>
        <w:adjustRightInd w:val="0"/>
        <w:ind w:firstLine="709"/>
        <w:jc w:val="both"/>
        <w:rPr>
          <w:rFonts w:eastAsia="Calibri"/>
          <w:color w:val="000000"/>
        </w:rPr>
      </w:pPr>
      <w:r w:rsidRPr="00634664">
        <w:t xml:space="preserve">При отсутствии охраняемых красных линий застройки </w:t>
      </w:r>
      <w:r w:rsidRPr="00634664">
        <w:rPr>
          <w:rFonts w:eastAsia="Calibri"/>
          <w:color w:val="000000"/>
        </w:rPr>
        <w:t xml:space="preserve">индивидуальный жилой дом, дом блокированной застройки должны отстоять от границы земельного участка со стороны территории общего пользования (улицы) не менее чем на 5 метров, со стороны территории общего пользования (проезда) не менее чем на 3 метра.  </w:t>
      </w:r>
    </w:p>
    <w:p w:rsidR="00E96DCB" w:rsidRPr="00634664" w:rsidRDefault="00E96DCB" w:rsidP="00E96DCB">
      <w:pPr>
        <w:autoSpaceDE w:val="0"/>
        <w:autoSpaceDN w:val="0"/>
        <w:adjustRightInd w:val="0"/>
        <w:ind w:firstLine="709"/>
        <w:jc w:val="both"/>
        <w:rPr>
          <w:rFonts w:eastAsia="Calibri"/>
          <w:color w:val="000000"/>
        </w:rPr>
      </w:pPr>
      <w:r w:rsidRPr="00634664">
        <w:rPr>
          <w:rFonts w:eastAsia="Calibri"/>
          <w:color w:val="000000"/>
        </w:rPr>
        <w:t>Хозяйственные постройки, индивидуальные гаражи должны отстоять от границы земельного участка со стороны территории общего пользования (улицы и проезда) не менее чем на 5 метров, при наличии красных линий застройки не менее чем на 5 метров от нее.</w:t>
      </w:r>
    </w:p>
    <w:p w:rsidR="00E96DCB" w:rsidRPr="00634664" w:rsidRDefault="00E96DCB" w:rsidP="00E96DCB">
      <w:pPr>
        <w:autoSpaceDE w:val="0"/>
        <w:autoSpaceDN w:val="0"/>
        <w:adjustRightInd w:val="0"/>
        <w:ind w:firstLine="709"/>
        <w:jc w:val="both"/>
        <w:rPr>
          <w:rFonts w:eastAsia="Calibri"/>
        </w:rPr>
      </w:pPr>
      <w:r w:rsidRPr="00634664">
        <w:rPr>
          <w:rFonts w:eastAsia="Calibri"/>
        </w:rPr>
        <w:t>Сараи для скота и птицы следует предусматривать на расстоянии от окон жилых помещений дома:</w:t>
      </w:r>
    </w:p>
    <w:p w:rsidR="00E96DCB" w:rsidRPr="00634664" w:rsidRDefault="00E96DCB" w:rsidP="00E96DCB">
      <w:pPr>
        <w:autoSpaceDE w:val="0"/>
        <w:autoSpaceDN w:val="0"/>
        <w:adjustRightInd w:val="0"/>
        <w:ind w:firstLine="709"/>
        <w:jc w:val="both"/>
        <w:rPr>
          <w:rFonts w:eastAsia="Calibri"/>
        </w:rPr>
      </w:pPr>
      <w:r w:rsidRPr="00634664">
        <w:rPr>
          <w:rFonts w:eastAsia="Calibri"/>
        </w:rPr>
        <w:t>- одиночные или двойные - не менее 15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Расстояния от сараев для скота и птицы до шахтных колодцев общего пользования должно быть не менее 50 метров. Колодцы должны располагаться выше по потоку грунтовых вод.</w:t>
      </w:r>
    </w:p>
    <w:p w:rsidR="00E96DCB" w:rsidRPr="00634664" w:rsidRDefault="00E96DCB" w:rsidP="00E96DCB">
      <w:pPr>
        <w:autoSpaceDE w:val="0"/>
        <w:autoSpaceDN w:val="0"/>
        <w:adjustRightInd w:val="0"/>
        <w:ind w:firstLine="709"/>
        <w:jc w:val="both"/>
        <w:rPr>
          <w:rFonts w:eastAsia="Calibri"/>
        </w:rPr>
      </w:pPr>
      <w:r w:rsidRPr="00634664">
        <w:rPr>
          <w:rFonts w:eastAsia="Calibri"/>
        </w:rPr>
        <w:t>Расстояния между жилыми домами при новом строительстве принимаются в соответствии с нормами противопожарной безопасности, инсоляции и освещённости.</w:t>
      </w:r>
    </w:p>
    <w:p w:rsidR="00E96DCB" w:rsidRPr="00634664" w:rsidRDefault="00E96DCB" w:rsidP="00E96DCB">
      <w:pPr>
        <w:autoSpaceDE w:val="0"/>
        <w:autoSpaceDN w:val="0"/>
        <w:adjustRightInd w:val="0"/>
        <w:ind w:firstLine="709"/>
        <w:jc w:val="both"/>
        <w:rPr>
          <w:rFonts w:eastAsia="Calibri"/>
        </w:rPr>
      </w:pPr>
      <w:r w:rsidRPr="00634664">
        <w:rPr>
          <w:rFonts w:eastAsia="Calibri"/>
        </w:rPr>
        <w:t>До границы соседнего земельного участка расстояния по санитарно-бытовым условиям и в зависимости от степени огнестойкости должны быть не менее:</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индивидуального дома - 3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постройки для содержания скота - 4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других построек (индивидуальных бань, от места стоянки индивидуального автомобиля и др.) - 1 метр;</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стволов высокорослых деревьев - 4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стволов среднерослых деревьев - 2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кустарника - 1 метра;</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внешних стен индивидуальных домов до колодцев на территории участка со стороны вводов инженерных сетей – не менее 6 м.</w:t>
      </w:r>
    </w:p>
    <w:p w:rsidR="00E96DCB" w:rsidRPr="00634664" w:rsidRDefault="00E96DCB" w:rsidP="00E96DCB">
      <w:pPr>
        <w:autoSpaceDE w:val="0"/>
        <w:autoSpaceDN w:val="0"/>
        <w:adjustRightInd w:val="0"/>
        <w:ind w:firstLine="709"/>
        <w:jc w:val="both"/>
        <w:rPr>
          <w:rFonts w:eastAsia="Calibri"/>
        </w:rPr>
      </w:pPr>
      <w:r w:rsidRPr="00634664">
        <w:rPr>
          <w:rFonts w:eastAsia="Calibri"/>
        </w:rPr>
        <w:t>На территории жилой зоны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6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Расстояния до границ участков жилых домов составляют:</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площадок с контейнерами и крупногабаритным мусором (ТКО, в т. ч. раздельного) не менее 20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газорегуляторных пунктов не менее 15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трансформаторных подстанций не менее 10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края лесопаркового массива не менее 20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 от границ земельного участка индивидуальной жилой застройки до земельного участка для строительства магазина не менее 20 м.</w:t>
      </w:r>
    </w:p>
    <w:p w:rsidR="00E96DCB" w:rsidRPr="00634664" w:rsidRDefault="00E96DCB" w:rsidP="00E96DCB">
      <w:pPr>
        <w:autoSpaceDE w:val="0"/>
        <w:autoSpaceDN w:val="0"/>
        <w:adjustRightInd w:val="0"/>
        <w:ind w:firstLine="709"/>
        <w:jc w:val="both"/>
        <w:rPr>
          <w:rFonts w:eastAsia="Calibri"/>
        </w:rPr>
      </w:pPr>
      <w:r w:rsidRPr="00634664">
        <w:rPr>
          <w:rFonts w:eastAsia="Calibri"/>
        </w:rPr>
        <w:t>Допускается пристройка хозяйственного сарая, автостоянки, бани, теплицы к индивидуальному жилому дому с соблюдением требований санитарных, зооветеринарных и противопожарных норм.</w:t>
      </w:r>
    </w:p>
    <w:p w:rsidR="00E96DCB" w:rsidRPr="00634664" w:rsidRDefault="00E96DCB" w:rsidP="00E96DCB">
      <w:pPr>
        <w:autoSpaceDE w:val="0"/>
        <w:autoSpaceDN w:val="0"/>
        <w:adjustRightInd w:val="0"/>
        <w:ind w:firstLine="709"/>
        <w:jc w:val="both"/>
        <w:rPr>
          <w:rFonts w:eastAsia="Calibri"/>
        </w:rPr>
      </w:pPr>
      <w:r w:rsidRPr="00634664">
        <w:rPr>
          <w:rFonts w:eastAsia="Calibri"/>
        </w:rPr>
        <w:t>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w:t>
      </w:r>
    </w:p>
    <w:p w:rsidR="00E96DCB" w:rsidRPr="00634664" w:rsidRDefault="00E96DCB" w:rsidP="00E96DCB">
      <w:pPr>
        <w:autoSpaceDE w:val="0"/>
        <w:autoSpaceDN w:val="0"/>
        <w:adjustRightInd w:val="0"/>
        <w:ind w:firstLine="709"/>
        <w:jc w:val="both"/>
        <w:rPr>
          <w:rFonts w:eastAsia="Calibri"/>
        </w:rPr>
      </w:pPr>
      <w:r w:rsidRPr="00634664">
        <w:rPr>
          <w:rFonts w:eastAsia="Calibri"/>
        </w:rPr>
        <w:t>На территории частного домовладения места расположения мусоросборников для ТКО, в т.ч. раздельного, дворовых туалетов и компостных устройств должны определяться домовладельцами. Мусоросборники для ТКО, в т. ч. раздельного, дворовые туалеты, выгребные септики и компостных устройства должны быть расположены на расстоянии не менее 4 метров от границ участка домовладения.</w:t>
      </w:r>
    </w:p>
    <w:p w:rsidR="00E96DCB" w:rsidRPr="00634664" w:rsidRDefault="00E96DCB" w:rsidP="00E96DCB">
      <w:pPr>
        <w:autoSpaceDE w:val="0"/>
        <w:autoSpaceDN w:val="0"/>
        <w:adjustRightInd w:val="0"/>
        <w:ind w:firstLine="709"/>
        <w:jc w:val="both"/>
        <w:rPr>
          <w:rFonts w:eastAsia="Calibri"/>
        </w:rPr>
      </w:pPr>
      <w:r w:rsidRPr="00634664">
        <w:rPr>
          <w:rFonts w:eastAsia="Calibri"/>
        </w:rPr>
        <w:t xml:space="preserve">2. </w:t>
      </w:r>
      <w:r w:rsidRPr="00634664">
        <w:t>Для всех видов разрешенного использования земельных участков за исключением видов разрешенного использования с кодами 2.1, 2.3:</w:t>
      </w:r>
    </w:p>
    <w:p w:rsidR="00E96DCB" w:rsidRPr="00634664" w:rsidRDefault="00E96DCB" w:rsidP="00E96DCB">
      <w:pPr>
        <w:autoSpaceDE w:val="0"/>
        <w:autoSpaceDN w:val="0"/>
        <w:adjustRightInd w:val="0"/>
        <w:ind w:firstLine="709"/>
        <w:jc w:val="both"/>
        <w:rPr>
          <w:rFonts w:eastAsia="Calibri"/>
        </w:rPr>
      </w:pPr>
      <w:r w:rsidRPr="00634664">
        <w:t>При отсутствии охраняемых красных линий застройки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634664">
        <w:rPr>
          <w:rFonts w:eastAsia="Calibri"/>
          <w:lang w:eastAsia="en-US"/>
        </w:rPr>
        <w:t xml:space="preserve"> устанавливаются </w:t>
      </w:r>
      <w:r w:rsidRPr="00634664">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 </w:t>
      </w:r>
      <w:r w:rsidRPr="00634664">
        <w:rPr>
          <w:rFonts w:eastAsia="Calibri"/>
        </w:rPr>
        <w:t>на основе расчетов инсоляции и освещенности, соблюдения противопожарных и бытовых разрывов, но не менее 2 м.</w:t>
      </w:r>
    </w:p>
    <w:p w:rsidR="00E96DCB" w:rsidRPr="00634664" w:rsidRDefault="00E96DCB" w:rsidP="00E96DCB">
      <w:pPr>
        <w:autoSpaceDE w:val="0"/>
        <w:autoSpaceDN w:val="0"/>
        <w:adjustRightInd w:val="0"/>
        <w:ind w:firstLine="709"/>
        <w:jc w:val="both"/>
        <w:rPr>
          <w:rFonts w:eastAsia="Calibri"/>
        </w:rPr>
      </w:pPr>
      <w:r w:rsidRPr="00634664">
        <w:rPr>
          <w:rFonts w:eastAsia="Calibri"/>
        </w:rPr>
        <w:lastRenderedPageBreak/>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634664">
        <w:t>инимальные отступы от смежной границы таких участков в целях определения места допустимого размещения зданий, строений, сооружений</w:t>
      </w:r>
      <w:r w:rsidRPr="00634664">
        <w:rPr>
          <w:rFonts w:eastAsia="Calibri"/>
          <w:lang w:eastAsia="en-US"/>
        </w:rPr>
        <w:t xml:space="preserve"> устанавливаются 0 м.</w:t>
      </w:r>
    </w:p>
    <w:p w:rsidR="00E96DCB" w:rsidRPr="00634664" w:rsidRDefault="00E96DCB" w:rsidP="00E96DCB">
      <w:pPr>
        <w:autoSpaceDE w:val="0"/>
        <w:autoSpaceDN w:val="0"/>
        <w:adjustRightInd w:val="0"/>
        <w:ind w:firstLine="709"/>
        <w:jc w:val="both"/>
      </w:pPr>
      <w:r w:rsidRPr="00634664">
        <w:t>Минимальные отступы от границ земельных участков в целях определения мест допустимого размещения вспомогательных строений и сооружений устанавливаются 1 м.</w:t>
      </w:r>
    </w:p>
    <w:p w:rsidR="00E96DCB" w:rsidRPr="00634664" w:rsidRDefault="00E96DCB" w:rsidP="00E96DCB">
      <w:pPr>
        <w:pStyle w:val="ConsPlusNonformat"/>
        <w:ind w:firstLine="708"/>
        <w:jc w:val="both"/>
        <w:rPr>
          <w:rFonts w:ascii="Times New Roman" w:hAnsi="Times New Roman" w:cs="Times New Roman"/>
          <w:bCs/>
        </w:rPr>
      </w:pPr>
    </w:p>
    <w:p w:rsidR="00E96DCB" w:rsidRPr="00634664" w:rsidRDefault="00E96DCB" w:rsidP="00E96DCB">
      <w:pPr>
        <w:pStyle w:val="ConsPlusNonformat"/>
        <w:ind w:firstLine="708"/>
        <w:jc w:val="both"/>
        <w:rPr>
          <w:rFonts w:ascii="Times New Roman" w:hAnsi="Times New Roman" w:cs="Times New Roman"/>
        </w:rPr>
      </w:pPr>
      <w:r w:rsidRPr="00634664">
        <w:rPr>
          <w:rFonts w:ascii="Times New Roman" w:hAnsi="Times New Roman" w:cs="Times New Roman"/>
          <w:bCs/>
        </w:rPr>
        <w:t xml:space="preserve">В соответствии с </w:t>
      </w:r>
      <w:r w:rsidRPr="00634664">
        <w:rPr>
          <w:rFonts w:ascii="Times New Roman" w:hAnsi="Times New Roman" w:cs="Times New Roman"/>
        </w:rPr>
        <w:t>Проектом охранных зон памятников истории и культуры города Тутаева, утвержденным Решением исполнительного комитета Ярославского областного Совета народных депутатов от 23.11.1990 № 371, земельный участок полностью расположен в границах охранной зоны памятников истории и культуры.</w:t>
      </w:r>
    </w:p>
    <w:p w:rsidR="00E96DCB" w:rsidRPr="00634664" w:rsidRDefault="00E96DCB" w:rsidP="00E96DCB">
      <w:pPr>
        <w:pStyle w:val="ConsPlusNonformat"/>
        <w:jc w:val="both"/>
        <w:rPr>
          <w:rFonts w:ascii="Times New Roman" w:hAnsi="Times New Roman" w:cs="Times New Roman"/>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6804"/>
      </w:tblGrid>
      <w:tr w:rsidR="00E96DCB" w:rsidRPr="00634664" w:rsidTr="00A1044D">
        <w:tc>
          <w:tcPr>
            <w:tcW w:w="10065" w:type="dxa"/>
            <w:gridSpan w:val="2"/>
          </w:tcPr>
          <w:p w:rsidR="00E96DCB" w:rsidRPr="00634664" w:rsidRDefault="00E96DCB" w:rsidP="00A1044D">
            <w:pPr>
              <w:jc w:val="center"/>
              <w:rPr>
                <w:b/>
              </w:rPr>
            </w:pPr>
            <w:r w:rsidRPr="00634664">
              <w:rPr>
                <w:b/>
              </w:rPr>
              <w:t>Основные положения по охранной зоне</w:t>
            </w:r>
          </w:p>
        </w:tc>
      </w:tr>
      <w:tr w:rsidR="00E96DCB" w:rsidRPr="00634664" w:rsidTr="00A1044D">
        <w:tc>
          <w:tcPr>
            <w:tcW w:w="3261" w:type="dxa"/>
          </w:tcPr>
          <w:p w:rsidR="00E96DCB" w:rsidRPr="00634664" w:rsidRDefault="00E96DCB" w:rsidP="00A1044D">
            <w:pPr>
              <w:jc w:val="center"/>
              <w:rPr>
                <w:b/>
              </w:rPr>
            </w:pPr>
            <w:r w:rsidRPr="00634664">
              <w:rPr>
                <w:b/>
              </w:rPr>
              <w:t>В зоне запрещается</w:t>
            </w:r>
          </w:p>
        </w:tc>
        <w:tc>
          <w:tcPr>
            <w:tcW w:w="6804" w:type="dxa"/>
          </w:tcPr>
          <w:p w:rsidR="00E96DCB" w:rsidRPr="00634664" w:rsidRDefault="00E96DCB" w:rsidP="00A1044D">
            <w:pPr>
              <w:jc w:val="center"/>
              <w:rPr>
                <w:b/>
              </w:rPr>
            </w:pPr>
            <w:r w:rsidRPr="00634664">
              <w:rPr>
                <w:b/>
              </w:rPr>
              <w:t>В зоне требуется</w:t>
            </w:r>
          </w:p>
        </w:tc>
      </w:tr>
      <w:tr w:rsidR="00E96DCB" w:rsidRPr="00634664" w:rsidTr="00A1044D">
        <w:trPr>
          <w:trHeight w:val="416"/>
        </w:trPr>
        <w:tc>
          <w:tcPr>
            <w:tcW w:w="3261" w:type="dxa"/>
          </w:tcPr>
          <w:p w:rsidR="00E96DCB" w:rsidRPr="00634664" w:rsidRDefault="00E96DCB" w:rsidP="00E96DCB">
            <w:pPr>
              <w:numPr>
                <w:ilvl w:val="0"/>
                <w:numId w:val="18"/>
              </w:numPr>
              <w:jc w:val="both"/>
            </w:pPr>
            <w:r w:rsidRPr="00634664">
              <w:t>Изменение структуры или облика памятников, искажение красных линий;</w:t>
            </w:r>
          </w:p>
          <w:p w:rsidR="00E96DCB" w:rsidRPr="00634664" w:rsidRDefault="00E96DCB" w:rsidP="00E96DCB">
            <w:pPr>
              <w:numPr>
                <w:ilvl w:val="0"/>
                <w:numId w:val="18"/>
              </w:numPr>
              <w:jc w:val="both"/>
            </w:pPr>
            <w:r w:rsidRPr="00634664">
              <w:t>Снос ценных исторических зданий или искажение их облика;</w:t>
            </w:r>
          </w:p>
          <w:p w:rsidR="00E96DCB" w:rsidRPr="00634664" w:rsidRDefault="00E96DCB" w:rsidP="00E96DCB">
            <w:pPr>
              <w:numPr>
                <w:ilvl w:val="0"/>
                <w:numId w:val="18"/>
              </w:numPr>
              <w:jc w:val="both"/>
            </w:pPr>
            <w:r w:rsidRPr="00634664">
              <w:t>Мероприятия, наносящие ущерб памятникам и их среде, физическому сокращению, восприятию, функционированию;</w:t>
            </w:r>
          </w:p>
          <w:p w:rsidR="00E96DCB" w:rsidRPr="00634664" w:rsidRDefault="00E96DCB" w:rsidP="00E96DCB">
            <w:pPr>
              <w:numPr>
                <w:ilvl w:val="0"/>
                <w:numId w:val="18"/>
              </w:numPr>
              <w:jc w:val="both"/>
            </w:pPr>
            <w:r w:rsidRPr="00634664">
              <w:t xml:space="preserve">Строительство зданий с протяженными фасадами (более </w:t>
            </w:r>
            <w:smartTag w:uri="urn:schemas-microsoft-com:office:smarttags" w:element="metricconverter">
              <w:smartTagPr>
                <w:attr w:name="ProductID" w:val="20 метров"/>
              </w:smartTagPr>
              <w:r w:rsidRPr="00634664">
                <w:t>20 метров</w:t>
              </w:r>
            </w:smartTag>
            <w:r w:rsidRPr="00634664">
              <w:t>);</w:t>
            </w:r>
          </w:p>
          <w:p w:rsidR="00E96DCB" w:rsidRPr="00634664" w:rsidRDefault="00E96DCB" w:rsidP="00E96DCB">
            <w:pPr>
              <w:numPr>
                <w:ilvl w:val="0"/>
                <w:numId w:val="18"/>
              </w:numPr>
              <w:jc w:val="both"/>
            </w:pPr>
            <w:r w:rsidRPr="00634664">
              <w:t>Строительство во внутриквартальных пространствах;</w:t>
            </w:r>
          </w:p>
          <w:p w:rsidR="00E96DCB" w:rsidRPr="00634664" w:rsidRDefault="00E96DCB" w:rsidP="00E96DCB">
            <w:pPr>
              <w:numPr>
                <w:ilvl w:val="0"/>
                <w:numId w:val="18"/>
              </w:numPr>
              <w:jc w:val="both"/>
            </w:pPr>
            <w:r w:rsidRPr="00634664">
              <w:t>Строительство типовых детских садов и школ;</w:t>
            </w:r>
          </w:p>
          <w:p w:rsidR="00E96DCB" w:rsidRPr="00634664" w:rsidRDefault="00E96DCB" w:rsidP="00E96DCB">
            <w:pPr>
              <w:numPr>
                <w:ilvl w:val="0"/>
                <w:numId w:val="18"/>
              </w:numPr>
              <w:jc w:val="both"/>
            </w:pPr>
            <w:r w:rsidRPr="00634664">
              <w:t>Создание искусственных берегоукрепительных сооружений;</w:t>
            </w:r>
          </w:p>
          <w:p w:rsidR="00E96DCB" w:rsidRPr="00634664" w:rsidRDefault="00E96DCB" w:rsidP="00E96DCB">
            <w:pPr>
              <w:numPr>
                <w:ilvl w:val="0"/>
                <w:numId w:val="18"/>
              </w:numPr>
              <w:jc w:val="both"/>
            </w:pPr>
            <w:r w:rsidRPr="00634664">
              <w:t>Создание развязок в разных уровнях;</w:t>
            </w:r>
          </w:p>
          <w:p w:rsidR="00E96DCB" w:rsidRPr="00634664" w:rsidRDefault="00E96DCB" w:rsidP="00E96DCB">
            <w:pPr>
              <w:numPr>
                <w:ilvl w:val="0"/>
                <w:numId w:val="18"/>
              </w:numPr>
              <w:jc w:val="both"/>
            </w:pPr>
            <w:r w:rsidRPr="00634664">
              <w:t>Трассировка магистралей общегородского значения;</w:t>
            </w:r>
          </w:p>
          <w:p w:rsidR="00E96DCB" w:rsidRPr="00634664" w:rsidRDefault="00E96DCB" w:rsidP="00E96DCB">
            <w:pPr>
              <w:numPr>
                <w:ilvl w:val="0"/>
                <w:numId w:val="18"/>
              </w:numPr>
              <w:jc w:val="both"/>
            </w:pPr>
            <w:r w:rsidRPr="00634664">
              <w:t>Расширение улиц, укрепление кварталов;</w:t>
            </w:r>
          </w:p>
          <w:p w:rsidR="00E96DCB" w:rsidRPr="00634664" w:rsidRDefault="00E96DCB" w:rsidP="00E96DCB">
            <w:pPr>
              <w:numPr>
                <w:ilvl w:val="0"/>
                <w:numId w:val="18"/>
              </w:numPr>
              <w:jc w:val="both"/>
            </w:pPr>
            <w:r w:rsidRPr="00634664">
              <w:t>Превышение расчетного уровня застройки.</w:t>
            </w:r>
          </w:p>
        </w:tc>
        <w:tc>
          <w:tcPr>
            <w:tcW w:w="6804" w:type="dxa"/>
          </w:tcPr>
          <w:p w:rsidR="00E96DCB" w:rsidRPr="00634664" w:rsidRDefault="00E96DCB" w:rsidP="00E96DCB">
            <w:pPr>
              <w:numPr>
                <w:ilvl w:val="0"/>
                <w:numId w:val="18"/>
              </w:numPr>
              <w:jc w:val="both"/>
            </w:pPr>
            <w:r w:rsidRPr="00634664">
              <w:t>Полное сохранение исторической среды и восстановление утраченных зданий и элементов, формирующих панораму города или улицы;</w:t>
            </w:r>
          </w:p>
          <w:p w:rsidR="00E96DCB" w:rsidRPr="00634664" w:rsidRDefault="00E96DCB" w:rsidP="00E96DCB">
            <w:pPr>
              <w:numPr>
                <w:ilvl w:val="0"/>
                <w:numId w:val="18"/>
              </w:numPr>
              <w:jc w:val="both"/>
            </w:pPr>
            <w:r w:rsidRPr="00634664">
              <w:t>Вид реконструкции – регенерация;</w:t>
            </w:r>
          </w:p>
          <w:p w:rsidR="00E96DCB" w:rsidRPr="00634664" w:rsidRDefault="00E96DCB" w:rsidP="00E96DCB">
            <w:pPr>
              <w:numPr>
                <w:ilvl w:val="0"/>
                <w:numId w:val="18"/>
              </w:numPr>
              <w:jc w:val="both"/>
            </w:pPr>
            <w:r w:rsidRPr="00634664">
              <w:t>Реставрация памятников, исторических зданий, модернизация сохраняемых зданий, санация застройки;</w:t>
            </w:r>
          </w:p>
          <w:p w:rsidR="00E96DCB" w:rsidRPr="00634664" w:rsidRDefault="00E96DCB" w:rsidP="00E96DCB">
            <w:pPr>
              <w:numPr>
                <w:ilvl w:val="0"/>
                <w:numId w:val="18"/>
              </w:numPr>
              <w:jc w:val="both"/>
            </w:pPr>
            <w:r w:rsidRPr="00634664">
              <w:t>Прокладка инженерных сетей;</w:t>
            </w:r>
          </w:p>
          <w:p w:rsidR="00E96DCB" w:rsidRPr="00634664" w:rsidRDefault="00E96DCB" w:rsidP="00E96DCB">
            <w:pPr>
              <w:numPr>
                <w:ilvl w:val="0"/>
                <w:numId w:val="18"/>
              </w:numPr>
              <w:jc w:val="both"/>
            </w:pPr>
            <w:r w:rsidRPr="00634664">
              <w:t>Снос ветхого фонда, не имеющего ландшафтной и пространственной ценности;</w:t>
            </w:r>
          </w:p>
          <w:p w:rsidR="00E96DCB" w:rsidRPr="00634664" w:rsidRDefault="00E96DCB" w:rsidP="00E96DCB">
            <w:pPr>
              <w:numPr>
                <w:ilvl w:val="0"/>
                <w:numId w:val="18"/>
              </w:numPr>
              <w:jc w:val="both"/>
            </w:pPr>
            <w:r w:rsidRPr="00634664">
              <w:t xml:space="preserve">Компенсационное строительство на тех же участках, высота зданий с кровлей не более </w:t>
            </w:r>
            <w:smartTag w:uri="urn:schemas-microsoft-com:office:smarttags" w:element="metricconverter">
              <w:smartTagPr>
                <w:attr w:name="ProductID" w:val="3 метров"/>
              </w:smartTagPr>
              <w:r w:rsidRPr="00634664">
                <w:t>3 метров</w:t>
              </w:r>
            </w:smartTag>
            <w:r w:rsidRPr="00634664">
              <w:t xml:space="preserve">, длина уличного фасада не более </w:t>
            </w:r>
            <w:smartTag w:uri="urn:schemas-microsoft-com:office:smarttags" w:element="metricconverter">
              <w:smartTagPr>
                <w:attr w:name="ProductID" w:val="20 метров"/>
              </w:smartTagPr>
              <w:r w:rsidRPr="00634664">
                <w:t>20 метров</w:t>
              </w:r>
            </w:smartTag>
            <w:r w:rsidRPr="00634664">
              <w:t>, кровли скатные, характер застройки – усадебный с прозорами;</w:t>
            </w:r>
          </w:p>
          <w:p w:rsidR="00E96DCB" w:rsidRPr="00634664" w:rsidRDefault="00E96DCB" w:rsidP="00E96DCB">
            <w:pPr>
              <w:numPr>
                <w:ilvl w:val="0"/>
                <w:numId w:val="18"/>
              </w:numPr>
              <w:jc w:val="both"/>
            </w:pPr>
            <w:r w:rsidRPr="00634664">
              <w:t>Архитектурный облик новых зданий полностью подчинен сложившемуся: простые объемы с декором фасадов (в соответствии с типологией – см. чертежи);</w:t>
            </w:r>
          </w:p>
          <w:p w:rsidR="00E96DCB" w:rsidRPr="00634664" w:rsidRDefault="00E96DCB" w:rsidP="00E96DCB">
            <w:pPr>
              <w:numPr>
                <w:ilvl w:val="0"/>
                <w:numId w:val="18"/>
              </w:numPr>
              <w:jc w:val="both"/>
            </w:pPr>
            <w:r w:rsidRPr="00634664">
              <w:t>Новые здания должны располагаться по красным линиям на месте утраченных;</w:t>
            </w:r>
          </w:p>
          <w:p w:rsidR="00E96DCB" w:rsidRPr="00634664" w:rsidRDefault="00E96DCB" w:rsidP="00E96DCB">
            <w:pPr>
              <w:numPr>
                <w:ilvl w:val="0"/>
                <w:numId w:val="18"/>
              </w:numPr>
              <w:jc w:val="both"/>
            </w:pPr>
            <w:r w:rsidRPr="00634664">
              <w:t>Новое строительство до 8 метров, не искажающее облика окружающей исторической среды;</w:t>
            </w:r>
          </w:p>
          <w:p w:rsidR="00E96DCB" w:rsidRPr="00634664" w:rsidRDefault="00E96DCB" w:rsidP="00E96DCB">
            <w:pPr>
              <w:numPr>
                <w:ilvl w:val="0"/>
                <w:numId w:val="18"/>
              </w:numPr>
              <w:jc w:val="both"/>
            </w:pPr>
            <w:r w:rsidRPr="00634664">
              <w:t>Возможен перенос ценных деревянных зданий из района реконструкции;</w:t>
            </w:r>
          </w:p>
          <w:p w:rsidR="00E96DCB" w:rsidRPr="00634664" w:rsidRDefault="00E96DCB" w:rsidP="00E96DCB">
            <w:pPr>
              <w:numPr>
                <w:ilvl w:val="0"/>
                <w:numId w:val="18"/>
              </w:numPr>
              <w:jc w:val="both"/>
            </w:pPr>
            <w:r w:rsidRPr="00634664">
              <w:t>Ликвидация высокой зелени, закрывающей обзор архитектурных ансамблей, благоустройство склонов, улиц, оврагов, площадей;</w:t>
            </w:r>
          </w:p>
          <w:p w:rsidR="00E96DCB" w:rsidRPr="00634664" w:rsidRDefault="00E96DCB" w:rsidP="00E96DCB">
            <w:pPr>
              <w:numPr>
                <w:ilvl w:val="0"/>
                <w:numId w:val="18"/>
              </w:numPr>
              <w:jc w:val="both"/>
            </w:pPr>
            <w:r w:rsidRPr="00634664">
              <w:t>Учреждения обслуживания следует размещать преимущественно в сложившемся фонде;</w:t>
            </w:r>
          </w:p>
          <w:p w:rsidR="00E96DCB" w:rsidRPr="00634664" w:rsidRDefault="00E96DCB" w:rsidP="00E96DCB">
            <w:pPr>
              <w:numPr>
                <w:ilvl w:val="0"/>
                <w:numId w:val="18"/>
              </w:numPr>
              <w:jc w:val="both"/>
            </w:pPr>
            <w:r w:rsidRPr="00634664">
              <w:t>Для обслуживания туристов предусмотреть широкую сеть специализированных учреждений торговли, жилья, питания;</w:t>
            </w:r>
          </w:p>
          <w:p w:rsidR="00E96DCB" w:rsidRPr="00634664" w:rsidRDefault="00E96DCB" w:rsidP="00E96DCB">
            <w:pPr>
              <w:numPr>
                <w:ilvl w:val="0"/>
                <w:numId w:val="18"/>
              </w:numPr>
              <w:jc w:val="both"/>
            </w:pPr>
            <w:r w:rsidRPr="00634664">
              <w:t>Сохранять первоначальную функцию сложившегося фонда, в том числе и жилую;</w:t>
            </w:r>
          </w:p>
          <w:p w:rsidR="00E96DCB" w:rsidRPr="00634664" w:rsidRDefault="00E96DCB" w:rsidP="00E96DCB">
            <w:pPr>
              <w:numPr>
                <w:ilvl w:val="0"/>
                <w:numId w:val="18"/>
              </w:numPr>
              <w:jc w:val="both"/>
            </w:pPr>
            <w:r w:rsidRPr="00634664">
              <w:t>Переоборудовать памятники архитектуры под музеи, библиотеки, выставки, гостиницы, научные учреждения с использованием их в культурно-просветительных, туристско-экскурсионных и воспитательных целях, а также в хозяйственных целях, если это не наносит ущерба сохранности памятников;</w:t>
            </w:r>
          </w:p>
          <w:p w:rsidR="00E96DCB" w:rsidRPr="00634664" w:rsidRDefault="00E96DCB" w:rsidP="00E96DCB">
            <w:pPr>
              <w:numPr>
                <w:ilvl w:val="0"/>
                <w:numId w:val="18"/>
              </w:numPr>
              <w:jc w:val="both"/>
            </w:pPr>
            <w:r w:rsidRPr="00634664">
              <w:t>Сохранить структуру домовладений и кварталов.</w:t>
            </w:r>
          </w:p>
          <w:p w:rsidR="00E96DCB" w:rsidRPr="00634664" w:rsidRDefault="00E96DCB" w:rsidP="00A1044D">
            <w:pPr>
              <w:ind w:left="360"/>
              <w:jc w:val="both"/>
            </w:pPr>
          </w:p>
        </w:tc>
      </w:tr>
    </w:tbl>
    <w:p w:rsidR="00E96DCB" w:rsidRPr="00634664" w:rsidRDefault="00E96DCB" w:rsidP="00E96DCB">
      <w:pPr>
        <w:autoSpaceDE w:val="0"/>
        <w:autoSpaceDN w:val="0"/>
        <w:adjustRightInd w:val="0"/>
        <w:ind w:firstLine="709"/>
        <w:jc w:val="both"/>
      </w:pPr>
    </w:p>
    <w:p w:rsidR="00E96DCB" w:rsidRPr="00634664" w:rsidRDefault="00E96DCB" w:rsidP="00E96DCB">
      <w:pPr>
        <w:pStyle w:val="a3"/>
        <w:jc w:val="both"/>
        <w:rPr>
          <w:b/>
          <w:color w:val="000000"/>
          <w:spacing w:val="1"/>
        </w:rPr>
      </w:pPr>
      <w:r w:rsidRPr="00634664">
        <w:rPr>
          <w:b/>
          <w:color w:val="000000"/>
          <w:spacing w:val="1"/>
        </w:rPr>
        <w:t>5. Технические условия подключения (технологического присоединения) к сетям инженерно-технического обеспечения, сроки действия и плата за подключение (технологическое присоединение):</w:t>
      </w:r>
    </w:p>
    <w:p w:rsidR="00E96DCB" w:rsidRPr="00634664" w:rsidRDefault="00E96DCB" w:rsidP="00E96DCB">
      <w:pPr>
        <w:pStyle w:val="a3"/>
        <w:ind w:firstLine="0"/>
        <w:jc w:val="both"/>
        <w:rPr>
          <w:color w:val="000000"/>
          <w:spacing w:val="1"/>
        </w:rPr>
      </w:pPr>
    </w:p>
    <w:tbl>
      <w:tblPr>
        <w:tblW w:w="1006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74" w:type="dxa"/>
          <w:right w:w="79" w:type="dxa"/>
        </w:tblCellMar>
        <w:tblLook w:val="04A0"/>
      </w:tblPr>
      <w:tblGrid>
        <w:gridCol w:w="3402"/>
        <w:gridCol w:w="6663"/>
      </w:tblGrid>
      <w:tr w:rsidR="00E96DCB" w:rsidRPr="00634664" w:rsidTr="00A1044D">
        <w:trPr>
          <w:trHeight w:val="584"/>
        </w:trPr>
        <w:tc>
          <w:tcPr>
            <w:tcW w:w="3402" w:type="dxa"/>
            <w:shd w:val="clear" w:color="auto" w:fill="auto"/>
          </w:tcPr>
          <w:p w:rsidR="00E96DCB" w:rsidRPr="00634664" w:rsidRDefault="00E96DCB" w:rsidP="00A1044D">
            <w:pPr>
              <w:spacing w:line="259" w:lineRule="auto"/>
              <w:ind w:left="46"/>
              <w:rPr>
                <w:lang w:eastAsia="en-US"/>
              </w:rPr>
            </w:pPr>
            <w:r w:rsidRPr="00634664">
              <w:rPr>
                <w:color w:val="000000"/>
                <w:lang w:eastAsia="en-US"/>
              </w:rPr>
              <w:t>Возможность</w:t>
            </w:r>
            <w:r w:rsidRPr="00634664">
              <w:rPr>
                <w:color w:val="000000"/>
                <w:lang w:eastAsia="en-US"/>
              </w:rPr>
              <w:tab/>
              <w:t xml:space="preserve"> подключения к сетям  водоснабжения и водоотведения</w:t>
            </w:r>
          </w:p>
        </w:tc>
        <w:tc>
          <w:tcPr>
            <w:tcW w:w="6663" w:type="dxa"/>
            <w:shd w:val="clear" w:color="auto" w:fill="auto"/>
          </w:tcPr>
          <w:p w:rsidR="00E96DCB" w:rsidRPr="00634664" w:rsidRDefault="00E96DCB" w:rsidP="00A1044D">
            <w:pPr>
              <w:spacing w:line="259" w:lineRule="auto"/>
              <w:ind w:left="34"/>
              <w:rPr>
                <w:rFonts w:eastAsia="Calibri"/>
                <w:color w:val="000000"/>
                <w:lang w:eastAsia="en-US"/>
              </w:rPr>
            </w:pPr>
            <w:r w:rsidRPr="00634664">
              <w:rPr>
                <w:rFonts w:eastAsia="Calibri"/>
                <w:color w:val="000000"/>
                <w:u w:val="single"/>
                <w:lang w:eastAsia="en-US"/>
              </w:rPr>
              <w:t xml:space="preserve">ООО «Водоснабжение» №100 от 04.02.2025: </w:t>
            </w:r>
            <w:r w:rsidRPr="00634664">
              <w:rPr>
                <w:rFonts w:eastAsia="Calibri"/>
                <w:color w:val="000000"/>
                <w:lang w:eastAsia="en-US"/>
              </w:rPr>
              <w:t xml:space="preserve"> Техническая возможность подключения сетей имеется с ул.Архангельская в частные сети или с ул.2-я Овражная.</w:t>
            </w:r>
          </w:p>
          <w:p w:rsidR="00E96DCB" w:rsidRPr="00634664" w:rsidRDefault="00E96DCB" w:rsidP="00A1044D">
            <w:pPr>
              <w:spacing w:line="259" w:lineRule="auto"/>
              <w:ind w:left="34"/>
              <w:rPr>
                <w:rFonts w:eastAsia="Calibri"/>
                <w:color w:val="000000"/>
                <w:lang w:eastAsia="en-US"/>
              </w:rPr>
            </w:pPr>
            <w:r w:rsidRPr="00634664">
              <w:rPr>
                <w:rFonts w:eastAsia="Calibri"/>
                <w:color w:val="000000"/>
                <w:u w:val="single"/>
                <w:lang w:eastAsia="en-US"/>
              </w:rPr>
              <w:t>ООО «Водоотведение» от 04.02.2025:</w:t>
            </w:r>
            <w:r w:rsidRPr="00634664">
              <w:rPr>
                <w:rFonts w:eastAsia="Calibri"/>
                <w:color w:val="000000"/>
                <w:lang w:eastAsia="en-US"/>
              </w:rPr>
              <w:t xml:space="preserve"> Техническая возможность подключения сетей водоотведения отсутствует.</w:t>
            </w:r>
          </w:p>
        </w:tc>
      </w:tr>
      <w:tr w:rsidR="00E96DCB" w:rsidRPr="00634664" w:rsidTr="00A1044D">
        <w:trPr>
          <w:trHeight w:val="409"/>
        </w:trPr>
        <w:tc>
          <w:tcPr>
            <w:tcW w:w="3402" w:type="dxa"/>
            <w:shd w:val="clear" w:color="auto" w:fill="auto"/>
          </w:tcPr>
          <w:p w:rsidR="00E96DCB" w:rsidRPr="00634664" w:rsidRDefault="00E96DCB" w:rsidP="00A1044D">
            <w:pPr>
              <w:spacing w:line="259" w:lineRule="auto"/>
              <w:ind w:left="46"/>
              <w:rPr>
                <w:lang w:eastAsia="en-US"/>
              </w:rPr>
            </w:pPr>
            <w:r w:rsidRPr="00634664">
              <w:rPr>
                <w:color w:val="000000"/>
                <w:lang w:eastAsia="en-US"/>
              </w:rPr>
              <w:t xml:space="preserve">Возможность подключения к сетям </w:t>
            </w:r>
          </w:p>
        </w:tc>
        <w:tc>
          <w:tcPr>
            <w:tcW w:w="6663" w:type="dxa"/>
            <w:shd w:val="clear" w:color="auto" w:fill="auto"/>
          </w:tcPr>
          <w:p w:rsidR="00E96DCB" w:rsidRPr="00634664" w:rsidRDefault="00E96DCB" w:rsidP="00A1044D">
            <w:pPr>
              <w:jc w:val="both"/>
              <w:rPr>
                <w:rFonts w:eastAsia="Calibri"/>
                <w:lang w:eastAsia="en-US"/>
              </w:rPr>
            </w:pPr>
            <w:r w:rsidRPr="00634664">
              <w:rPr>
                <w:u w:val="single"/>
              </w:rPr>
              <w:t xml:space="preserve">ОАО «Газпром Газораспределение филиал в г.Данилове » № 19 от 28.02.2025г. возможность технологического присоединения существует. </w:t>
            </w:r>
          </w:p>
        </w:tc>
      </w:tr>
      <w:tr w:rsidR="00E96DCB" w:rsidRPr="00634664" w:rsidTr="00A1044D">
        <w:trPr>
          <w:trHeight w:val="288"/>
        </w:trPr>
        <w:tc>
          <w:tcPr>
            <w:tcW w:w="3402" w:type="dxa"/>
            <w:shd w:val="clear" w:color="auto" w:fill="auto"/>
          </w:tcPr>
          <w:p w:rsidR="00E96DCB" w:rsidRPr="00634664" w:rsidRDefault="00E96DCB" w:rsidP="00A1044D">
            <w:pPr>
              <w:spacing w:line="259" w:lineRule="auto"/>
              <w:ind w:left="46"/>
              <w:rPr>
                <w:rFonts w:eastAsia="Calibri"/>
                <w:color w:val="000000"/>
                <w:lang w:eastAsia="en-US"/>
              </w:rPr>
            </w:pPr>
            <w:r w:rsidRPr="00634664">
              <w:rPr>
                <w:color w:val="000000"/>
                <w:lang w:eastAsia="en-US"/>
              </w:rPr>
              <w:t>Точка подключения к электрическим сетям</w:t>
            </w:r>
          </w:p>
        </w:tc>
        <w:tc>
          <w:tcPr>
            <w:tcW w:w="6663" w:type="dxa"/>
            <w:shd w:val="clear" w:color="auto" w:fill="auto"/>
          </w:tcPr>
          <w:p w:rsidR="00E96DCB" w:rsidRPr="00634664" w:rsidRDefault="00E96DCB" w:rsidP="00A1044D">
            <w:pPr>
              <w:jc w:val="both"/>
              <w:rPr>
                <w:u w:val="single"/>
              </w:rPr>
            </w:pPr>
            <w:r w:rsidRPr="00634664">
              <w:rPr>
                <w:u w:val="single"/>
              </w:rPr>
              <w:t xml:space="preserve">АО «Горэлектросеть» </w:t>
            </w:r>
            <w:r w:rsidRPr="00634664">
              <w:rPr>
                <w:color w:val="000000"/>
                <w:u w:val="single"/>
              </w:rPr>
              <w:t>от 06.02.2025-</w:t>
            </w:r>
            <w:r w:rsidRPr="00634664">
              <w:rPr>
                <w:u w:val="single"/>
              </w:rPr>
              <w:t xml:space="preserve"> Возможность подключения к электрическим сетям имеется, ближайшая опора существующей воздушной линии напряжением 0,4 кВ.</w:t>
            </w:r>
          </w:p>
          <w:p w:rsidR="00E96DCB" w:rsidRPr="00634664" w:rsidRDefault="00E96DCB" w:rsidP="00A1044D">
            <w:pPr>
              <w:jc w:val="both"/>
            </w:pPr>
            <w:r w:rsidRPr="00634664">
              <w:rPr>
                <w:u w:val="single"/>
              </w:rPr>
              <w:lastRenderedPageBreak/>
              <w:t xml:space="preserve">Объемы строительства и размер платы за технологическое присоединение, срок подключения и объем необходимого строительства объектов электросетевого хозяйства будут определены при заключении договора об осуществлении технологического присоединения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27.04.2004 №861. </w:t>
            </w:r>
          </w:p>
          <w:p w:rsidR="00E96DCB" w:rsidRPr="00634664" w:rsidRDefault="00E96DCB" w:rsidP="00A1044D">
            <w:pPr>
              <w:jc w:val="both"/>
              <w:rPr>
                <w:color w:val="FF0000"/>
                <w:lang w:eastAsia="en-US"/>
              </w:rPr>
            </w:pPr>
          </w:p>
        </w:tc>
      </w:tr>
      <w:tr w:rsidR="000620FD" w:rsidRPr="00634664" w:rsidTr="00A1044D">
        <w:trPr>
          <w:trHeight w:val="288"/>
        </w:trPr>
        <w:tc>
          <w:tcPr>
            <w:tcW w:w="3402" w:type="dxa"/>
            <w:shd w:val="clear" w:color="auto" w:fill="auto"/>
          </w:tcPr>
          <w:p w:rsidR="000620FD" w:rsidRPr="00634664" w:rsidRDefault="000620FD" w:rsidP="000620FD">
            <w:pPr>
              <w:spacing w:line="259" w:lineRule="auto"/>
              <w:ind w:left="46"/>
              <w:rPr>
                <w:color w:val="000000"/>
                <w:lang w:eastAsia="en-US"/>
              </w:rPr>
            </w:pPr>
            <w:r w:rsidRPr="00FF3D33">
              <w:rPr>
                <w:color w:val="000000"/>
                <w:lang w:eastAsia="en-US"/>
              </w:rPr>
              <w:lastRenderedPageBreak/>
              <w:t>Подключение к сетям теплоснабжения</w:t>
            </w:r>
          </w:p>
        </w:tc>
        <w:tc>
          <w:tcPr>
            <w:tcW w:w="6663" w:type="dxa"/>
            <w:shd w:val="clear" w:color="auto" w:fill="auto"/>
          </w:tcPr>
          <w:p w:rsidR="000620FD" w:rsidRPr="00634664" w:rsidRDefault="000620FD" w:rsidP="000620FD">
            <w:pPr>
              <w:jc w:val="both"/>
              <w:rPr>
                <w:u w:val="single"/>
              </w:rPr>
            </w:pPr>
            <w:r>
              <w:rPr>
                <w:rFonts w:eastAsia="Calibri"/>
                <w:color w:val="000000"/>
                <w:lang w:eastAsia="en-US"/>
              </w:rPr>
              <w:t xml:space="preserve">ООО «Тутаевская ПГУ» №111 от 13.02.2025 </w:t>
            </w:r>
            <w:r w:rsidRPr="00FF3D33">
              <w:rPr>
                <w:rFonts w:eastAsia="Calibri"/>
                <w:color w:val="000000"/>
                <w:lang w:eastAsia="en-US"/>
              </w:rPr>
              <w:t>Техническая возможность подключения сетей теплоснабжения отсутствует.</w:t>
            </w:r>
          </w:p>
        </w:tc>
      </w:tr>
    </w:tbl>
    <w:p w:rsidR="00E96DCB" w:rsidRDefault="00E96DCB" w:rsidP="001B03A8">
      <w:pPr>
        <w:tabs>
          <w:tab w:val="left" w:pos="709"/>
        </w:tabs>
        <w:ind w:firstLine="426"/>
        <w:jc w:val="both"/>
      </w:pPr>
    </w:p>
    <w:p w:rsidR="00E96DCB" w:rsidRPr="00FF3D33" w:rsidRDefault="00E96DCB" w:rsidP="001B03A8">
      <w:pPr>
        <w:tabs>
          <w:tab w:val="left" w:pos="709"/>
        </w:tabs>
        <w:ind w:firstLine="426"/>
        <w:jc w:val="both"/>
      </w:pPr>
    </w:p>
    <w:p w:rsidR="00672DF5" w:rsidRPr="00FF3D33" w:rsidRDefault="009B1BA8" w:rsidP="001B03A8">
      <w:pPr>
        <w:tabs>
          <w:tab w:val="left" w:pos="567"/>
        </w:tabs>
        <w:ind w:firstLine="426"/>
        <w:jc w:val="both"/>
        <w:rPr>
          <w:color w:val="000000"/>
          <w:lang w:eastAsia="en-US"/>
        </w:rPr>
      </w:pPr>
      <w:r>
        <w:rPr>
          <w:b/>
        </w:rPr>
        <w:t>4</w:t>
      </w:r>
      <w:r w:rsidR="005717C2" w:rsidRPr="00FF3D33">
        <w:rPr>
          <w:b/>
        </w:rPr>
        <w:t xml:space="preserve">. </w:t>
      </w:r>
      <w:r w:rsidR="00672DF5" w:rsidRPr="00FF3D33">
        <w:rPr>
          <w:color w:val="000000"/>
          <w:lang w:eastAsia="en-US"/>
        </w:rPr>
        <w:t>Настоящие технические условия подлежат уточнению на стадии проектирования капитальных объектов на застраиваемом земельном участке.</w:t>
      </w:r>
    </w:p>
    <w:p w:rsidR="00A32BAF" w:rsidRDefault="009B1BA8" w:rsidP="00A32BAF">
      <w:pPr>
        <w:tabs>
          <w:tab w:val="left" w:pos="567"/>
        </w:tabs>
        <w:spacing w:line="276" w:lineRule="auto"/>
        <w:ind w:firstLine="426"/>
        <w:contextualSpacing/>
        <w:jc w:val="both"/>
        <w:rPr>
          <w:color w:val="000000"/>
          <w:lang w:eastAsia="en-US"/>
        </w:rPr>
      </w:pPr>
      <w:r>
        <w:rPr>
          <w:b/>
          <w:bCs/>
          <w:color w:val="000000"/>
          <w:lang w:eastAsia="en-US"/>
        </w:rPr>
        <w:t>5</w:t>
      </w:r>
      <w:r w:rsidR="00A0649A" w:rsidRPr="00FF3D33">
        <w:rPr>
          <w:b/>
          <w:bCs/>
          <w:color w:val="000000"/>
          <w:lang w:eastAsia="en-US"/>
        </w:rPr>
        <w:t xml:space="preserve">. </w:t>
      </w:r>
      <w:r w:rsidR="000B677E" w:rsidRPr="00FF3D33">
        <w:rPr>
          <w:b/>
          <w:bCs/>
          <w:color w:val="000000"/>
          <w:lang w:eastAsia="en-US"/>
        </w:rPr>
        <w:t>Оператор электронной площадки (Оператор)</w:t>
      </w:r>
      <w:r w:rsidR="000B677E" w:rsidRPr="00FF3D33">
        <w:rPr>
          <w:color w:val="000000"/>
          <w:lang w:eastAsia="en-US"/>
        </w:rPr>
        <w:t xml:space="preserve"> – </w:t>
      </w:r>
      <w:r w:rsidR="00A32BAF" w:rsidRPr="00A32BAF">
        <w:rPr>
          <w:color w:val="000000"/>
          <w:lang w:eastAsia="en-US"/>
        </w:rPr>
        <w:t xml:space="preserve">электронная площадка АО «Сбербанк-АСТ».  Адрес сайта: </w:t>
      </w:r>
      <w:hyperlink r:id="rId9" w:history="1">
        <w:r w:rsidR="00A32BAF" w:rsidRPr="00A03806">
          <w:rPr>
            <w:rStyle w:val="ad"/>
            <w:lang w:eastAsia="en-US"/>
          </w:rPr>
          <w:t>http://utp.sberbank-ast.ru/</w:t>
        </w:r>
      </w:hyperlink>
      <w:r w:rsidR="00A32BAF" w:rsidRPr="00A32BAF">
        <w:rPr>
          <w:color w:val="000000"/>
          <w:lang w:eastAsia="en-US"/>
        </w:rPr>
        <w:t>.</w:t>
      </w:r>
    </w:p>
    <w:p w:rsidR="00C13C42" w:rsidRDefault="00DA01C1" w:rsidP="00A32BAF">
      <w:pPr>
        <w:tabs>
          <w:tab w:val="left" w:pos="567"/>
        </w:tabs>
        <w:spacing w:line="276" w:lineRule="auto"/>
        <w:ind w:firstLine="426"/>
        <w:contextualSpacing/>
        <w:jc w:val="both"/>
        <w:rPr>
          <w:color w:val="000000"/>
        </w:rPr>
      </w:pPr>
      <w:r w:rsidRPr="00FF3D33">
        <w:rPr>
          <w:color w:val="000000"/>
        </w:rPr>
        <w:t xml:space="preserve">Торги проводятся в форме электронного аукциона в соответствии </w:t>
      </w:r>
      <w:r w:rsidR="00A32BAF" w:rsidRPr="00A32BAF">
        <w:rPr>
          <w:color w:val="000000"/>
        </w:rPr>
        <w:t>со ст. 39.18 Земельного кодекса РФ в форме аукциона, являются закрытыми по составу участников и открытыми по форме подачи заявок (участниками аукциона могут являться только граждане).</w:t>
      </w:r>
    </w:p>
    <w:p w:rsidR="00AD6649" w:rsidRDefault="00AD6649" w:rsidP="00A32BAF">
      <w:pPr>
        <w:tabs>
          <w:tab w:val="left" w:pos="567"/>
        </w:tabs>
        <w:spacing w:line="276" w:lineRule="auto"/>
        <w:ind w:firstLine="426"/>
        <w:contextualSpacing/>
        <w:jc w:val="both"/>
        <w:rPr>
          <w:color w:val="000000"/>
        </w:rPr>
      </w:pPr>
      <w:r>
        <w:rPr>
          <w:color w:val="000000"/>
        </w:rPr>
        <w:t>Д</w:t>
      </w:r>
      <w:r w:rsidRPr="00AD6649">
        <w:rPr>
          <w:color w:val="000000"/>
        </w:rPr>
        <w:t>ат</w:t>
      </w:r>
      <w:r>
        <w:rPr>
          <w:color w:val="000000"/>
        </w:rPr>
        <w:t>а</w:t>
      </w:r>
      <w:r w:rsidRPr="00AD6649">
        <w:rPr>
          <w:color w:val="000000"/>
        </w:rPr>
        <w:t xml:space="preserve"> размещения извещения в соответствии с подпунктом 1 пункта 1 статьи 39.18 </w:t>
      </w:r>
      <w:r>
        <w:rPr>
          <w:color w:val="000000"/>
        </w:rPr>
        <w:t xml:space="preserve">Земельного </w:t>
      </w:r>
      <w:r w:rsidRPr="00AD6649">
        <w:rPr>
          <w:color w:val="000000"/>
        </w:rPr>
        <w:t>Кодекса</w:t>
      </w:r>
      <w:r>
        <w:rPr>
          <w:color w:val="000000"/>
        </w:rPr>
        <w:t xml:space="preserve"> – 02.12.2024.</w:t>
      </w:r>
    </w:p>
    <w:p w:rsidR="00A32BAF" w:rsidRPr="00C25B32" w:rsidRDefault="005E43D5" w:rsidP="00A32BAF">
      <w:pPr>
        <w:pStyle w:val="2"/>
        <w:rPr>
          <w:color w:val="000000"/>
          <w:lang w:eastAsia="en-US"/>
        </w:rPr>
      </w:pPr>
      <w:r>
        <w:rPr>
          <w:b/>
          <w:bCs/>
          <w:color w:val="000000"/>
          <w:lang w:eastAsia="en-US"/>
        </w:rPr>
        <w:t xml:space="preserve">6. </w:t>
      </w:r>
      <w:r w:rsidR="00A32BAF" w:rsidRPr="00C25B32">
        <w:rPr>
          <w:b/>
          <w:bCs/>
          <w:color w:val="000000"/>
          <w:lang w:eastAsia="en-US"/>
        </w:rPr>
        <w:t xml:space="preserve">Дата, время и место проведения аукциона: </w:t>
      </w:r>
      <w:r w:rsidR="00A32BAF" w:rsidRPr="00C25B32">
        <w:rPr>
          <w:color w:val="000000"/>
          <w:lang w:eastAsia="en-US"/>
        </w:rPr>
        <w:t xml:space="preserve">Место, дата и время проведения аукциона: </w:t>
      </w:r>
      <w:r w:rsidR="005632A2" w:rsidRPr="005E43D5">
        <w:rPr>
          <w:b/>
          <w:bCs/>
          <w:color w:val="000000"/>
          <w:lang w:eastAsia="en-US"/>
        </w:rPr>
        <w:t>15.05.2025</w:t>
      </w:r>
      <w:r w:rsidR="00A32BAF" w:rsidRPr="00C25B32">
        <w:rPr>
          <w:b/>
          <w:bCs/>
          <w:color w:val="000000"/>
          <w:lang w:eastAsia="en-US"/>
        </w:rPr>
        <w:t xml:space="preserve"> в 09:00 час.</w:t>
      </w:r>
      <w:r w:rsidR="00A32BAF" w:rsidRPr="00C25B32">
        <w:rPr>
          <w:rFonts w:eastAsia="Calibri"/>
          <w:lang w:eastAsia="en-US"/>
        </w:rPr>
        <w:t xml:space="preserve">(время московское) </w:t>
      </w:r>
      <w:r w:rsidR="00A32BAF" w:rsidRPr="00C25B32">
        <w:rPr>
          <w:color w:val="000000"/>
          <w:lang w:eastAsia="en-US"/>
        </w:rPr>
        <w:t xml:space="preserve">электронная площадка АО «Сбербанк-АСТ».  Адрес сайта: </w:t>
      </w:r>
      <w:hyperlink r:id="rId10" w:history="1">
        <w:r w:rsidR="00A32BAF" w:rsidRPr="00C25B32">
          <w:rPr>
            <w:rStyle w:val="ad"/>
            <w:lang w:eastAsia="en-US"/>
          </w:rPr>
          <w:t>http://utp.sberbank-ast.ru</w:t>
        </w:r>
      </w:hyperlink>
    </w:p>
    <w:p w:rsidR="00A32BAF" w:rsidRPr="00C25B32" w:rsidRDefault="005E43D5" w:rsidP="00A32BAF">
      <w:pPr>
        <w:pStyle w:val="2"/>
        <w:rPr>
          <w:b/>
          <w:bCs/>
        </w:rPr>
      </w:pPr>
      <w:r w:rsidRPr="0003052F">
        <w:t>Итоги аукциона подводятся непосредственно после окончания процедуры проведения аукциона</w:t>
      </w:r>
    </w:p>
    <w:p w:rsidR="00A32BAF" w:rsidRPr="00C25B32" w:rsidRDefault="00A32BAF" w:rsidP="00A32BAF">
      <w:pPr>
        <w:ind w:firstLine="720"/>
        <w:jc w:val="both"/>
        <w:rPr>
          <w:b/>
          <w:bCs/>
        </w:rPr>
      </w:pPr>
      <w:r w:rsidRPr="00C25B32">
        <w:rPr>
          <w:rFonts w:eastAsia="Calibri"/>
          <w:b/>
          <w:lang w:eastAsia="en-US"/>
        </w:rPr>
        <w:t xml:space="preserve">Место </w:t>
      </w:r>
      <w:r w:rsidR="005632A2">
        <w:rPr>
          <w:rFonts w:eastAsia="Calibri"/>
          <w:b/>
          <w:lang w:eastAsia="en-US"/>
        </w:rPr>
        <w:t xml:space="preserve">начала </w:t>
      </w:r>
      <w:r w:rsidRPr="00C25B32">
        <w:rPr>
          <w:rFonts w:eastAsia="Calibri"/>
          <w:b/>
          <w:lang w:eastAsia="en-US"/>
        </w:rPr>
        <w:t>приема Заявок на участие в аукционе</w:t>
      </w:r>
      <w:r w:rsidR="005632A2">
        <w:rPr>
          <w:rFonts w:eastAsia="Calibri"/>
          <w:b/>
          <w:lang w:eastAsia="en-US"/>
        </w:rPr>
        <w:t>02.04.2025</w:t>
      </w:r>
      <w:r w:rsidRPr="00C25B32">
        <w:rPr>
          <w:rFonts w:eastAsia="Calibri"/>
          <w:b/>
          <w:bCs/>
          <w:lang w:eastAsia="en-US"/>
        </w:rPr>
        <w:t xml:space="preserve"> г. с 17:00 час.,</w:t>
      </w:r>
      <w:r w:rsidRPr="00C25B32">
        <w:t>электронная площадка АО «Сбербанк-АСТ», торговая секция «Приватизация, аренда и продажа прав» универсальной торговой платформы оператора электронной площадки</w:t>
      </w:r>
      <w:r w:rsidRPr="00C25B32">
        <w:rPr>
          <w:b/>
          <w:bCs/>
        </w:rPr>
        <w:t>,</w:t>
      </w:r>
    </w:p>
    <w:p w:rsidR="005E43D5" w:rsidRDefault="00A32BAF" w:rsidP="00A32BAF">
      <w:pPr>
        <w:ind w:firstLine="720"/>
        <w:jc w:val="both"/>
      </w:pPr>
      <w:r w:rsidRPr="00C25B32">
        <w:rPr>
          <w:rFonts w:eastAsia="Calibri"/>
          <w:b/>
          <w:bCs/>
          <w:lang w:eastAsia="en-US"/>
        </w:rPr>
        <w:t xml:space="preserve">Дата и время окончания срока приема Заявок: </w:t>
      </w:r>
      <w:r w:rsidR="005632A2">
        <w:rPr>
          <w:rFonts w:eastAsia="Calibri"/>
          <w:b/>
          <w:bCs/>
          <w:lang w:eastAsia="en-US"/>
        </w:rPr>
        <w:t>12.05.2025</w:t>
      </w:r>
      <w:r w:rsidRPr="00C25B32">
        <w:rPr>
          <w:rFonts w:eastAsia="Calibri"/>
          <w:b/>
          <w:bCs/>
          <w:lang w:eastAsia="en-US"/>
        </w:rPr>
        <w:t xml:space="preserve"> в 17 час. 00 мин.</w:t>
      </w:r>
      <w:r w:rsidRPr="00C25B32">
        <w:t>электронная площадка АО «Сбербанк-АСТ», торговая секция «Приватизация, аренда и продажа прав» универсальной торговой платформы оператора электронной площадки</w:t>
      </w:r>
      <w:r w:rsidR="005E43D5">
        <w:t>.</w:t>
      </w:r>
    </w:p>
    <w:p w:rsidR="00A32BAF" w:rsidRPr="00C25B32" w:rsidRDefault="00A32BAF" w:rsidP="00A32BAF">
      <w:pPr>
        <w:ind w:firstLine="720"/>
        <w:jc w:val="both"/>
        <w:rPr>
          <w:rFonts w:eastAsia="Calibri"/>
          <w:lang w:eastAsia="en-US"/>
        </w:rPr>
      </w:pPr>
      <w:r w:rsidRPr="00C25B32">
        <w:rPr>
          <w:rFonts w:eastAsia="Calibri"/>
          <w:lang w:eastAsia="en-US"/>
        </w:rPr>
        <w:t>Подача Заявок осуществляется в электронной форме круглосуточно.</w:t>
      </w:r>
    </w:p>
    <w:p w:rsidR="00A32BAF" w:rsidRPr="00C25B32" w:rsidRDefault="00A32BAF" w:rsidP="00A32BAF">
      <w:pPr>
        <w:ind w:firstLine="720"/>
        <w:jc w:val="both"/>
        <w:rPr>
          <w:rFonts w:eastAsia="Calibri"/>
          <w:b/>
          <w:bCs/>
          <w:lang w:eastAsia="en-US"/>
        </w:rPr>
      </w:pPr>
      <w:r w:rsidRPr="00C25B32">
        <w:rPr>
          <w:rFonts w:eastAsia="Calibri"/>
          <w:lang w:eastAsia="en-US"/>
        </w:rPr>
        <w:t xml:space="preserve">Дата рассмотрения Заявок: </w:t>
      </w:r>
      <w:r w:rsidR="005E43D5" w:rsidRPr="005E43D5">
        <w:rPr>
          <w:rFonts w:eastAsia="Calibri"/>
          <w:b/>
          <w:bCs/>
          <w:lang w:eastAsia="en-US"/>
        </w:rPr>
        <w:t>13.05</w:t>
      </w:r>
      <w:r w:rsidRPr="005E43D5">
        <w:rPr>
          <w:rFonts w:eastAsia="Calibri"/>
          <w:b/>
          <w:bCs/>
          <w:lang w:eastAsia="en-US"/>
        </w:rPr>
        <w:t>.2025</w:t>
      </w:r>
      <w:r w:rsidRPr="00C25B32">
        <w:rPr>
          <w:rFonts w:eastAsia="Calibri"/>
          <w:b/>
          <w:bCs/>
          <w:lang w:eastAsia="en-US"/>
        </w:rPr>
        <w:t>.</w:t>
      </w:r>
    </w:p>
    <w:p w:rsidR="00C63B7B" w:rsidRPr="00C25B32" w:rsidRDefault="009B1BA8" w:rsidP="001B03A8">
      <w:pPr>
        <w:tabs>
          <w:tab w:val="left" w:pos="567"/>
          <w:tab w:val="left" w:pos="851"/>
        </w:tabs>
        <w:ind w:firstLine="426"/>
        <w:contextualSpacing/>
        <w:jc w:val="both"/>
        <w:rPr>
          <w:bCs/>
        </w:rPr>
      </w:pPr>
      <w:r w:rsidRPr="00C25B32">
        <w:rPr>
          <w:b/>
          <w:bCs/>
        </w:rPr>
        <w:t>7</w:t>
      </w:r>
      <w:r w:rsidR="00C63B7B" w:rsidRPr="00C25B32">
        <w:rPr>
          <w:b/>
          <w:bCs/>
        </w:rPr>
        <w:t>.Порядок регистрации на электронной площадке и внесение задатка для участия в электронном аукционе:</w:t>
      </w:r>
    </w:p>
    <w:p w:rsidR="005E5A73" w:rsidRPr="00C25B32" w:rsidRDefault="005E5A73" w:rsidP="00C25B32">
      <w:pPr>
        <w:tabs>
          <w:tab w:val="left" w:pos="0"/>
        </w:tabs>
        <w:ind w:firstLine="567"/>
        <w:jc w:val="both"/>
        <w:rPr>
          <w:rFonts w:eastAsia="Calibri"/>
        </w:rPr>
      </w:pPr>
      <w:r w:rsidRPr="00C25B32">
        <w:rPr>
          <w:rFonts w:eastAsia="Calibri"/>
        </w:rPr>
        <w:t>Плата за участие в электронном аукционе, проводимом в соответствии с пунктами 13, 14, 20 и 25 статьи 39.12 Земельного кодекса российской Федерации, оператором электронной площадки не взимается.</w:t>
      </w:r>
    </w:p>
    <w:p w:rsidR="005E43D5" w:rsidRPr="0003052F" w:rsidRDefault="005E43D5" w:rsidP="005E43D5">
      <w:pPr>
        <w:ind w:firstLine="708"/>
        <w:jc w:val="both"/>
      </w:pPr>
      <w:r w:rsidRPr="0003052F">
        <w:t>Регистрация осуществляется с применением электронной подписи, которая оформлена в соответствии с требованиями действующего законодательства.</w:t>
      </w:r>
    </w:p>
    <w:p w:rsidR="005E43D5" w:rsidRPr="0003052F" w:rsidRDefault="005E43D5" w:rsidP="005E43D5">
      <w:pPr>
        <w:ind w:firstLine="708"/>
        <w:jc w:val="both"/>
      </w:pPr>
      <w:r w:rsidRPr="0003052F">
        <w:t>Регистрация на официальном сайте ГИС Торги (https://torgi.gov.ru) автоматически и бесплатно создает личный кабинет на электронной площадке для участия в торгах.</w:t>
      </w:r>
    </w:p>
    <w:p w:rsidR="005E43D5" w:rsidRPr="0003052F" w:rsidRDefault="005E43D5" w:rsidP="005E43D5">
      <w:pPr>
        <w:jc w:val="both"/>
      </w:pPr>
      <w:r w:rsidRPr="0003052F">
        <w:t>Зарегистрироваться можно пройдя по ссылке: https://torgi.gov.ru/new/public. Информационные материалы по регистрации доступны: https://torgi.gov.ru/new/public/infomaterials/reg.</w:t>
      </w:r>
    </w:p>
    <w:p w:rsidR="005E43D5" w:rsidRPr="0003052F" w:rsidRDefault="005E43D5" w:rsidP="005E43D5">
      <w:pPr>
        <w:ind w:firstLine="708"/>
        <w:jc w:val="both"/>
      </w:pPr>
      <w:r w:rsidRPr="0003052F">
        <w:t xml:space="preserve">Порядок регистрации на электронной площадке: </w:t>
      </w:r>
    </w:p>
    <w:p w:rsidR="005E43D5" w:rsidRDefault="005E43D5" w:rsidP="005E43D5">
      <w:pPr>
        <w:tabs>
          <w:tab w:val="left" w:pos="0"/>
        </w:tabs>
        <w:ind w:firstLine="567"/>
        <w:jc w:val="both"/>
      </w:pPr>
      <w:r w:rsidRPr="0003052F">
        <w:t>Регистрации на ЭТП подлежат лица, ранее не зарегистрированные на торговой площадке, либо регистрация которых прекращена. Регистрация на торговой площадке производится в соответствии с регламентом торговой площадки на соответствующем сайте в сети Интернет</w:t>
      </w:r>
      <w:r>
        <w:t>.</w:t>
      </w:r>
    </w:p>
    <w:p w:rsidR="005E5A73" w:rsidRPr="00C25B32" w:rsidRDefault="005E5A73" w:rsidP="005E43D5">
      <w:pPr>
        <w:tabs>
          <w:tab w:val="left" w:pos="0"/>
        </w:tabs>
        <w:ind w:firstLine="567"/>
        <w:jc w:val="both"/>
        <w:rPr>
          <w:rFonts w:eastAsia="Calibri"/>
        </w:rPr>
      </w:pPr>
      <w:r w:rsidRPr="00C25B32">
        <w:rPr>
          <w:rFonts w:eastAsia="Calibri"/>
        </w:rPr>
        <w:t>Заявитель не допускается к участию в аукционе в следующих случаях:</w:t>
      </w:r>
    </w:p>
    <w:p w:rsidR="005E5A73" w:rsidRPr="00C25B32" w:rsidRDefault="005E5A73" w:rsidP="00C25B32">
      <w:pPr>
        <w:tabs>
          <w:tab w:val="left" w:pos="0"/>
        </w:tabs>
        <w:ind w:firstLine="567"/>
        <w:jc w:val="both"/>
        <w:rPr>
          <w:rFonts w:eastAsia="Calibri"/>
        </w:rPr>
      </w:pPr>
      <w:r w:rsidRPr="00C25B32">
        <w:rPr>
          <w:rFonts w:eastAsia="Calibri"/>
        </w:rPr>
        <w:t>1) непредставление необходимых для участия в аукционе документов или представление недостоверных сведений;</w:t>
      </w:r>
    </w:p>
    <w:p w:rsidR="005E5A73" w:rsidRPr="00C25B32" w:rsidRDefault="005E5A73" w:rsidP="00C25B32">
      <w:pPr>
        <w:tabs>
          <w:tab w:val="left" w:pos="0"/>
        </w:tabs>
        <w:ind w:firstLine="567"/>
        <w:jc w:val="both"/>
        <w:rPr>
          <w:rFonts w:eastAsia="Calibri"/>
        </w:rPr>
      </w:pPr>
      <w:r w:rsidRPr="00C25B32">
        <w:rPr>
          <w:rFonts w:eastAsia="Calibri"/>
        </w:rPr>
        <w:t xml:space="preserve">2) непоступление задатка на дату рассмотрения заявок на участие в аукционе;    </w:t>
      </w:r>
    </w:p>
    <w:p w:rsidR="005E5A73" w:rsidRPr="00C25B32" w:rsidRDefault="005E5A73" w:rsidP="00C25B32">
      <w:pPr>
        <w:tabs>
          <w:tab w:val="left" w:pos="0"/>
        </w:tabs>
        <w:ind w:firstLine="567"/>
        <w:jc w:val="both"/>
        <w:rPr>
          <w:rFonts w:eastAsia="Calibri"/>
        </w:rPr>
      </w:pPr>
      <w:r w:rsidRPr="00C25B32">
        <w:rPr>
          <w:rFonts w:eastAsia="Calibri"/>
        </w:rPr>
        <w:t xml:space="preserve">3) подача заявки на участие в аукционе лицом, которое не имеет права быть участником конкретного аукциона, покупателем земельного участка;     </w:t>
      </w:r>
    </w:p>
    <w:p w:rsidR="005E5A73" w:rsidRPr="00C25B32" w:rsidRDefault="005E5A73" w:rsidP="00C25B32">
      <w:pPr>
        <w:tabs>
          <w:tab w:val="left" w:pos="0"/>
        </w:tabs>
        <w:ind w:firstLine="567"/>
        <w:jc w:val="both"/>
        <w:rPr>
          <w:rFonts w:eastAsia="Calibri"/>
        </w:rPr>
      </w:pPr>
      <w:r w:rsidRPr="00C25B32">
        <w:rPr>
          <w:rFonts w:eastAsia="Calibri"/>
        </w:rPr>
        <w:t>4) наличие сведений о заявителе в реестре недобросовестных участников аукциона.</w:t>
      </w:r>
    </w:p>
    <w:p w:rsidR="005E5A73" w:rsidRPr="00C25B32" w:rsidRDefault="005E5A73" w:rsidP="00C25B32">
      <w:pPr>
        <w:tabs>
          <w:tab w:val="left" w:pos="0"/>
        </w:tabs>
        <w:ind w:firstLine="567"/>
        <w:jc w:val="both"/>
        <w:rPr>
          <w:rFonts w:eastAsia="Calibri"/>
        </w:rPr>
      </w:pPr>
      <w:r w:rsidRPr="00C25B32">
        <w:rPr>
          <w:rFonts w:eastAsia="Calibri"/>
        </w:rPr>
        <w:t xml:space="preserve">Перечень документов, представляемых для участия в электронном аукционе: </w:t>
      </w:r>
    </w:p>
    <w:p w:rsidR="005E5A73" w:rsidRPr="00C25B32" w:rsidRDefault="005E5A73" w:rsidP="00C25B32">
      <w:pPr>
        <w:tabs>
          <w:tab w:val="left" w:pos="0"/>
        </w:tabs>
        <w:ind w:firstLine="567"/>
        <w:jc w:val="both"/>
        <w:rPr>
          <w:rFonts w:eastAsia="Calibri"/>
        </w:rPr>
      </w:pPr>
      <w:r w:rsidRPr="00C25B32">
        <w:rPr>
          <w:rFonts w:eastAsia="Calibri"/>
        </w:rPr>
        <w:t xml:space="preserve">     - заявка на участие в электронном аукционе в электронной форме посредством системы электронного документооборота на сайте ЭП, http://utp.sberbank-ast.ru, через оператора ЭП, в соответствии с регламентом ЭП;</w:t>
      </w:r>
    </w:p>
    <w:p w:rsidR="005E5A73" w:rsidRPr="00C25B32" w:rsidRDefault="005E5A73" w:rsidP="00C25B32">
      <w:pPr>
        <w:tabs>
          <w:tab w:val="left" w:pos="0"/>
        </w:tabs>
        <w:ind w:firstLine="567"/>
        <w:jc w:val="both"/>
        <w:rPr>
          <w:rFonts w:eastAsia="Calibri"/>
        </w:rPr>
      </w:pPr>
      <w:r w:rsidRPr="00C25B32">
        <w:rPr>
          <w:rFonts w:eastAsia="Calibri"/>
        </w:rPr>
        <w:t xml:space="preserve">     - копии документов, удостоверяющих личность Заявителя (для граждан - в случае представления копии паспорта гражданина Российской Федерации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
    <w:p w:rsidR="005E5A73" w:rsidRPr="00C25B32" w:rsidRDefault="005E5A73" w:rsidP="00C25B32">
      <w:pPr>
        <w:tabs>
          <w:tab w:val="left" w:pos="0"/>
        </w:tabs>
        <w:ind w:firstLine="567"/>
        <w:jc w:val="both"/>
        <w:rPr>
          <w:rFonts w:eastAsia="Calibri"/>
          <w:b/>
          <w:bCs/>
        </w:rPr>
      </w:pPr>
      <w:r w:rsidRPr="00C25B32">
        <w:rPr>
          <w:rFonts w:eastAsia="Calibri"/>
          <w:b/>
          <w:bCs/>
        </w:rPr>
        <w:lastRenderedPageBreak/>
        <w:t>Для участия в электронном аукционе претендент вносит задаток.</w:t>
      </w:r>
    </w:p>
    <w:p w:rsidR="005E5A73" w:rsidRPr="00C25B32" w:rsidRDefault="005E5A73" w:rsidP="00C25B32">
      <w:pPr>
        <w:tabs>
          <w:tab w:val="left" w:pos="0"/>
        </w:tabs>
        <w:ind w:firstLine="567"/>
        <w:jc w:val="both"/>
        <w:rPr>
          <w:rFonts w:eastAsia="Calibri"/>
          <w:b/>
          <w:bCs/>
        </w:rPr>
      </w:pPr>
      <w:r w:rsidRPr="00C25B32">
        <w:rPr>
          <w:rFonts w:eastAsia="Calibri"/>
          <w:b/>
          <w:bCs/>
        </w:rPr>
        <w:t xml:space="preserve">Задаток в безналичной форме должен поступить: Наименование: АО "Сбербанк-АСТ" ИНН: 7707308480  КПП: 770401001 Расчетный счет: 40702810300020038047 </w:t>
      </w:r>
    </w:p>
    <w:p w:rsidR="005E5A73" w:rsidRPr="00C25B32" w:rsidRDefault="005E5A73" w:rsidP="00C25B32">
      <w:pPr>
        <w:tabs>
          <w:tab w:val="left" w:pos="0"/>
        </w:tabs>
        <w:ind w:firstLine="567"/>
        <w:jc w:val="both"/>
        <w:rPr>
          <w:rFonts w:eastAsia="Calibri"/>
          <w:b/>
          <w:bCs/>
        </w:rPr>
      </w:pPr>
      <w:r w:rsidRPr="00C25B32">
        <w:rPr>
          <w:rFonts w:eastAsia="Calibri"/>
          <w:b/>
          <w:bCs/>
        </w:rPr>
        <w:t xml:space="preserve">ПАО "СБЕРБАНК РОССИИ" Г. МОСКВА БИК: 044525225 Корреспондентский счет: 30101810400000000225 </w:t>
      </w:r>
    </w:p>
    <w:p w:rsidR="005E5A73" w:rsidRPr="00C25B32" w:rsidRDefault="005E5A73" w:rsidP="00C25B32">
      <w:pPr>
        <w:tabs>
          <w:tab w:val="left" w:pos="0"/>
        </w:tabs>
        <w:ind w:firstLine="567"/>
        <w:jc w:val="both"/>
        <w:rPr>
          <w:rFonts w:eastAsia="Calibri"/>
        </w:rPr>
      </w:pPr>
      <w:r w:rsidRPr="00C25B32">
        <w:rPr>
          <w:rFonts w:eastAsia="Calibri"/>
        </w:rPr>
        <w:t xml:space="preserve">Задаток вносится не позднее даты окончания подачи заявок. </w:t>
      </w:r>
    </w:p>
    <w:p w:rsidR="005E5A73" w:rsidRPr="00C25B32" w:rsidRDefault="005E5A73" w:rsidP="00C25B32">
      <w:pPr>
        <w:tabs>
          <w:tab w:val="left" w:pos="0"/>
        </w:tabs>
        <w:ind w:firstLine="567"/>
        <w:jc w:val="both"/>
        <w:rPr>
          <w:rFonts w:eastAsia="Calibri"/>
          <w:b/>
          <w:bCs/>
        </w:rPr>
      </w:pPr>
      <w:r w:rsidRPr="00C25B32">
        <w:rPr>
          <w:rFonts w:eastAsia="Calibri"/>
          <w:b/>
          <w:bCs/>
        </w:rPr>
        <w:t>Назначение платежа: Задаток, обеспечение оплаты услуг оператора, сбор за участие (ИНН плательщика). НДС не облагается.</w:t>
      </w:r>
    </w:p>
    <w:p w:rsidR="005E5A73" w:rsidRPr="00C25B32" w:rsidRDefault="005E5A73" w:rsidP="00C25B32">
      <w:pPr>
        <w:tabs>
          <w:tab w:val="left" w:pos="0"/>
        </w:tabs>
        <w:ind w:firstLine="567"/>
        <w:jc w:val="both"/>
        <w:rPr>
          <w:rFonts w:eastAsia="Calibri"/>
        </w:rPr>
      </w:pPr>
      <w:r w:rsidRPr="00C25B32">
        <w:rPr>
          <w:rFonts w:eastAsia="Calibri"/>
        </w:rPr>
        <w:t>Соблюдение претендентом указанных требований означает, что заявка и документы, представляемые с заявкой, поданы от имени претендента. Один Заявитель вправе подать только одну Заявку.</w:t>
      </w:r>
    </w:p>
    <w:p w:rsidR="005E5A73" w:rsidRPr="00C25B32" w:rsidRDefault="005E5A73" w:rsidP="00C25B32">
      <w:pPr>
        <w:tabs>
          <w:tab w:val="left" w:pos="0"/>
        </w:tabs>
        <w:ind w:firstLine="567"/>
        <w:jc w:val="both"/>
        <w:rPr>
          <w:rFonts w:eastAsia="Calibri"/>
        </w:rPr>
      </w:pPr>
      <w:r w:rsidRPr="00C25B32">
        <w:rPr>
          <w:rFonts w:eastAsia="Calibri"/>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5E5A73" w:rsidRPr="00C25B32" w:rsidRDefault="005E5A73" w:rsidP="00C25B32">
      <w:pPr>
        <w:tabs>
          <w:tab w:val="left" w:pos="0"/>
        </w:tabs>
        <w:ind w:firstLine="567"/>
        <w:jc w:val="both"/>
        <w:rPr>
          <w:rFonts w:eastAsia="Calibri"/>
        </w:rPr>
      </w:pPr>
      <w:r w:rsidRPr="00C25B32">
        <w:rPr>
          <w:rFonts w:eastAsia="Calibri"/>
        </w:rPr>
        <w:t>- для Заявителя, отозвавшего Заявку до окончания срока приема Заявок, установленного Извещением, – в течение 3 (трех) рабочих дней со дня поступления уведомления об отзыве Заявки в соответствии с Регламентом и Инструкциями;</w:t>
      </w:r>
    </w:p>
    <w:p w:rsidR="005E5A73" w:rsidRPr="00C25B32" w:rsidRDefault="005E5A73" w:rsidP="00C25B32">
      <w:pPr>
        <w:tabs>
          <w:tab w:val="left" w:pos="0"/>
        </w:tabs>
        <w:ind w:firstLine="567"/>
        <w:jc w:val="both"/>
        <w:rPr>
          <w:rFonts w:eastAsia="Calibri"/>
        </w:rPr>
      </w:pPr>
      <w:r w:rsidRPr="00C25B32">
        <w:rPr>
          <w:rFonts w:eastAsia="Calibri"/>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5E5A73" w:rsidRPr="00C25B32" w:rsidRDefault="005E5A73" w:rsidP="00C25B32">
      <w:pPr>
        <w:tabs>
          <w:tab w:val="left" w:pos="0"/>
        </w:tabs>
        <w:ind w:firstLine="567"/>
        <w:jc w:val="both"/>
        <w:rPr>
          <w:rFonts w:eastAsia="Calibri"/>
        </w:rPr>
      </w:pPr>
      <w:r w:rsidRPr="00C25B32">
        <w:rPr>
          <w:rFonts w:eastAsia="Calibri"/>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5E5A73" w:rsidRPr="00C25B32" w:rsidRDefault="005E5A73" w:rsidP="00C25B32">
      <w:pPr>
        <w:tabs>
          <w:tab w:val="left" w:pos="0"/>
        </w:tabs>
        <w:ind w:firstLine="567"/>
        <w:jc w:val="both"/>
        <w:rPr>
          <w:rFonts w:eastAsia="Calibri"/>
        </w:rPr>
      </w:pPr>
      <w:r w:rsidRPr="00C25B32">
        <w:rPr>
          <w:rFonts w:eastAsia="Calibri"/>
        </w:rPr>
        <w:t>Задаток, внесенный лицом, признанным победителем аукциона (далее – Победитель), а также задаток, внесенный иным лицом, с которым договор аренд</w:t>
      </w:r>
      <w:r w:rsidR="005E43D5">
        <w:rPr>
          <w:rFonts w:eastAsia="Calibri"/>
        </w:rPr>
        <w:t>ы</w:t>
      </w:r>
      <w:r w:rsidRPr="00C25B32">
        <w:rPr>
          <w:rFonts w:eastAsia="Calibri"/>
        </w:rPr>
        <w:t xml:space="preserve"> земельного участка заключается в соответствии с пунктами 13 и 14 статьи 39.12 Земельного кодекса Российской Федерации, засчитываются в счет оплаты за земельный участок. 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от заключения указанного договора, не возвращаются.</w:t>
      </w:r>
    </w:p>
    <w:p w:rsidR="005E5A73" w:rsidRPr="00C25B32" w:rsidRDefault="005E5A73" w:rsidP="00C25B32">
      <w:pPr>
        <w:tabs>
          <w:tab w:val="left" w:pos="0"/>
        </w:tabs>
        <w:ind w:firstLine="567"/>
        <w:jc w:val="both"/>
        <w:rPr>
          <w:rFonts w:eastAsia="Calibri"/>
        </w:rPr>
      </w:pPr>
      <w:r w:rsidRPr="00C25B32">
        <w:rPr>
          <w:rFonts w:eastAsia="Calibri"/>
        </w:rPr>
        <w:t>Определение участников аукциона осуществляется аукционной комиссией.</w:t>
      </w:r>
    </w:p>
    <w:p w:rsidR="005E5A73" w:rsidRPr="00C25B32" w:rsidRDefault="005E5A73" w:rsidP="00C25B32">
      <w:pPr>
        <w:tabs>
          <w:tab w:val="left" w:pos="0"/>
        </w:tabs>
        <w:ind w:firstLine="567"/>
        <w:jc w:val="both"/>
        <w:rPr>
          <w:rFonts w:eastAsia="Calibri"/>
        </w:rPr>
      </w:pPr>
      <w:r w:rsidRPr="00C25B32">
        <w:rPr>
          <w:rFonts w:eastAsia="Calibri"/>
        </w:rPr>
        <w:t>Аукционная комиссия формируется организатором торгов.</w:t>
      </w:r>
    </w:p>
    <w:p w:rsidR="005E5A73" w:rsidRPr="00C25B32" w:rsidRDefault="005E5A73" w:rsidP="00C25B32">
      <w:pPr>
        <w:tabs>
          <w:tab w:val="left" w:pos="0"/>
        </w:tabs>
        <w:ind w:firstLine="567"/>
        <w:jc w:val="both"/>
        <w:rPr>
          <w:rFonts w:eastAsia="Calibri"/>
        </w:rPr>
      </w:pPr>
      <w:r w:rsidRPr="00C25B32">
        <w:rPr>
          <w:rFonts w:eastAsia="Calibri"/>
        </w:rPr>
        <w:t>Результаты определения участников торгов отражаются в протоколе, который формируется организатором аукциона, подписывается всеми присутствующими на заседании членами комиссии (протокол может быть подписан с использованием усиленной квалифицированной электронной подписи при наличии технической возможности) и размещается на сайте электронной площадки и в ГИС Торги (при наличии технической возможности).</w:t>
      </w:r>
    </w:p>
    <w:p w:rsidR="005E5A73" w:rsidRPr="00C25B32" w:rsidRDefault="005E5A73" w:rsidP="00C25B32">
      <w:pPr>
        <w:tabs>
          <w:tab w:val="left" w:pos="0"/>
        </w:tabs>
        <w:ind w:firstLine="567"/>
        <w:jc w:val="both"/>
        <w:rPr>
          <w:rFonts w:eastAsia="Calibri"/>
        </w:rPr>
      </w:pPr>
      <w:r w:rsidRPr="00C25B32">
        <w:rPr>
          <w:rFonts w:eastAsia="Calibri"/>
        </w:rPr>
        <w:t>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(далее – Участник).</w:t>
      </w:r>
    </w:p>
    <w:p w:rsidR="005E5A73" w:rsidRPr="00C25B32" w:rsidRDefault="005E5A73" w:rsidP="00C25B32">
      <w:pPr>
        <w:tabs>
          <w:tab w:val="left" w:pos="0"/>
        </w:tabs>
        <w:ind w:firstLine="567"/>
        <w:jc w:val="both"/>
        <w:rPr>
          <w:rFonts w:eastAsia="Calibri"/>
        </w:rPr>
      </w:pPr>
      <w:r w:rsidRPr="00C25B32">
        <w:rPr>
          <w:rFonts w:eastAsia="Calibri"/>
        </w:rPr>
        <w:t>Победителем признается Участник, предложивший наиболее высокую цену предмета аукциона.</w:t>
      </w:r>
    </w:p>
    <w:p w:rsidR="005E5A73" w:rsidRPr="00C25B32" w:rsidRDefault="005E5A73" w:rsidP="00C25B32">
      <w:pPr>
        <w:tabs>
          <w:tab w:val="left" w:pos="0"/>
        </w:tabs>
        <w:ind w:firstLine="567"/>
        <w:jc w:val="both"/>
        <w:rPr>
          <w:rFonts w:eastAsia="Calibri"/>
        </w:rPr>
      </w:pPr>
      <w:r w:rsidRPr="00C25B32">
        <w:rPr>
          <w:rFonts w:eastAsia="Calibri"/>
        </w:rPr>
        <w:t>Аукцион признается несостоявшимся в случаях, если:</w:t>
      </w:r>
    </w:p>
    <w:p w:rsidR="005E5A73" w:rsidRPr="00C25B32" w:rsidRDefault="005E5A73" w:rsidP="00C25B32">
      <w:pPr>
        <w:tabs>
          <w:tab w:val="left" w:pos="0"/>
        </w:tabs>
        <w:ind w:firstLine="567"/>
        <w:jc w:val="both"/>
        <w:rPr>
          <w:rFonts w:eastAsia="Calibri"/>
        </w:rPr>
      </w:pPr>
      <w:r w:rsidRPr="00C25B32">
        <w:rPr>
          <w:rFonts w:eastAsia="Calibri"/>
        </w:rPr>
        <w:t>- по окончании срока подачи Заявок была подана только одна Заявка;</w:t>
      </w:r>
    </w:p>
    <w:p w:rsidR="005E5A73" w:rsidRPr="00C25B32" w:rsidRDefault="005E5A73" w:rsidP="00C25B32">
      <w:pPr>
        <w:tabs>
          <w:tab w:val="left" w:pos="0"/>
        </w:tabs>
        <w:ind w:firstLine="567"/>
        <w:jc w:val="both"/>
        <w:rPr>
          <w:rFonts w:eastAsia="Calibri"/>
        </w:rPr>
      </w:pPr>
      <w:r w:rsidRPr="00C25B32">
        <w:rPr>
          <w:rFonts w:eastAsia="Calibri"/>
        </w:rPr>
        <w:t>- по окончании срока подачи Заявок не подано ни одной Заявки;</w:t>
      </w:r>
    </w:p>
    <w:p w:rsidR="005E5A73" w:rsidRPr="00C25B32" w:rsidRDefault="005E5A73" w:rsidP="00C25B32">
      <w:pPr>
        <w:tabs>
          <w:tab w:val="left" w:pos="0"/>
        </w:tabs>
        <w:ind w:firstLine="567"/>
        <w:jc w:val="both"/>
        <w:rPr>
          <w:rFonts w:eastAsia="Calibri"/>
        </w:rPr>
      </w:pPr>
      <w:r w:rsidRPr="00C25B32">
        <w:rPr>
          <w:rFonts w:eastAsia="Calibri"/>
        </w:rPr>
        <w:t>- на основании результатов рассмотрения Заявок принято решение об отказе в допуске к участию в аукционе всех Заявителей;</w:t>
      </w:r>
    </w:p>
    <w:p w:rsidR="005E5A73" w:rsidRPr="00C25B32" w:rsidRDefault="005E5A73" w:rsidP="00C25B32">
      <w:pPr>
        <w:tabs>
          <w:tab w:val="left" w:pos="0"/>
        </w:tabs>
        <w:ind w:firstLine="567"/>
        <w:jc w:val="both"/>
        <w:rPr>
          <w:rFonts w:eastAsia="Calibri"/>
        </w:rPr>
      </w:pPr>
      <w:r w:rsidRPr="00C25B32">
        <w:rPr>
          <w:rFonts w:eastAsia="Calibri"/>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5E5A73" w:rsidRPr="00C25B32" w:rsidRDefault="005E5A73" w:rsidP="00C25B32">
      <w:pPr>
        <w:tabs>
          <w:tab w:val="left" w:pos="0"/>
        </w:tabs>
        <w:ind w:firstLine="567"/>
        <w:jc w:val="both"/>
        <w:rPr>
          <w:rFonts w:eastAsia="Calibri"/>
        </w:rPr>
      </w:pPr>
      <w:r w:rsidRPr="00C25B32">
        <w:rPr>
          <w:rFonts w:eastAsia="Calibri"/>
        </w:rPr>
        <w:t>- в случае если в ходе аукциона не поступило ни одного предложения о цене Предмета аукциона, которое предусматривало бы более высокую цену Предмета аукциона.</w:t>
      </w:r>
    </w:p>
    <w:p w:rsidR="005E43D5" w:rsidRDefault="005E43D5" w:rsidP="00C25B32">
      <w:pPr>
        <w:tabs>
          <w:tab w:val="left" w:pos="0"/>
        </w:tabs>
        <w:ind w:firstLine="567"/>
        <w:jc w:val="both"/>
        <w:rPr>
          <w:rFonts w:eastAsia="Calibri"/>
        </w:rPr>
      </w:pPr>
      <w:r w:rsidRPr="0003052F">
        <w:rPr>
          <w:b/>
          <w:lang/>
        </w:rPr>
        <w:t>Условия и сроки заключения договора</w:t>
      </w:r>
    </w:p>
    <w:p w:rsidR="005E43D5" w:rsidRPr="0003052F" w:rsidRDefault="005E43D5" w:rsidP="005E43D5">
      <w:pPr>
        <w:tabs>
          <w:tab w:val="left" w:pos="709"/>
        </w:tabs>
        <w:ind w:firstLine="426"/>
        <w:jc w:val="both"/>
      </w:pPr>
      <w:r w:rsidRPr="0003052F">
        <w:t xml:space="preserve">В соответствии с п.13 статьи 39.13 Земельного Кодекса Российской Федерации по результатам проведения аукциона договор купли-продажи (аренды) земельного участка заключается </w:t>
      </w:r>
      <w:r w:rsidRPr="0003052F">
        <w:rPr>
          <w:b/>
          <w:bCs/>
        </w:rPr>
        <w:t>с инициатором аукциона (правообладателем имущества)</w:t>
      </w:r>
      <w:r w:rsidRPr="0003052F">
        <w:t xml:space="preserve"> в электронной форме и подписывается усиленной квалифицированной электронной подписью сторон такого договора. Договор с победителем заключается с применением функционала государственной информационной системы «официальный сайт Российской Федерации в информационно-телекоммуникационной сети «Интернет» для размещения информации о проведении торгов </w:t>
      </w:r>
      <w:hyperlink r:id="rId11" w:history="1">
        <w:r w:rsidRPr="0003052F">
          <w:rPr>
            <w:color w:val="0000FF"/>
            <w:u w:val="single"/>
          </w:rPr>
          <w:t>https://torgi.gov.ru»</w:t>
        </w:r>
      </w:hyperlink>
      <w:r w:rsidRPr="0003052F">
        <w:t xml:space="preserve">. </w:t>
      </w:r>
    </w:p>
    <w:p w:rsidR="005E43D5" w:rsidRPr="0003052F" w:rsidRDefault="005E43D5" w:rsidP="005E43D5">
      <w:pPr>
        <w:tabs>
          <w:tab w:val="left" w:pos="-284"/>
        </w:tabs>
        <w:jc w:val="both"/>
        <w:rPr>
          <w:color w:val="000000"/>
        </w:rPr>
      </w:pPr>
      <w:r w:rsidRPr="0003052F">
        <w:rPr>
          <w:b/>
          <w:color w:val="000000"/>
        </w:rPr>
        <w:t xml:space="preserve">        ВНИМАНИЕ:</w:t>
      </w:r>
      <w:r w:rsidRPr="0003052F">
        <w:rPr>
          <w:color w:val="000000"/>
        </w:rPr>
        <w:t xml:space="preserve"> В соответствии с пунктом 11 статьи 39.13 Земельного Кодекса Российской Федерации, </w:t>
      </w:r>
      <w:r w:rsidRPr="0003052F">
        <w:rPr>
          <w:rFonts w:eastAsia="Calibri"/>
        </w:rPr>
        <w:t>по результатам проведения электронного аукциона не допускается заключение договора купли-продажи(аренды)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5E43D5" w:rsidRPr="0003052F" w:rsidRDefault="005E43D5" w:rsidP="005E43D5">
      <w:pPr>
        <w:tabs>
          <w:tab w:val="left" w:pos="-284"/>
        </w:tabs>
        <w:autoSpaceDE w:val="0"/>
        <w:autoSpaceDN w:val="0"/>
        <w:adjustRightInd w:val="0"/>
        <w:jc w:val="both"/>
        <w:rPr>
          <w:color w:val="000000"/>
        </w:rPr>
      </w:pPr>
      <w:r w:rsidRPr="0003052F">
        <w:rPr>
          <w:color w:val="000000"/>
        </w:rPr>
        <w:t xml:space="preserve">       На основании пункта 12 статьи 39.13 Земельного кодекса Российской Федерации Инициатор аукциона обязан в течение пяти дней со дня истечения срока, предусмотренного </w:t>
      </w:r>
      <w:hyperlink w:anchor="Par30" w:history="1">
        <w:r w:rsidRPr="0003052F">
          <w:rPr>
            <w:color w:val="000000"/>
          </w:rPr>
          <w:t>пунктом 11</w:t>
        </w:r>
      </w:hyperlink>
      <w:r w:rsidRPr="0003052F">
        <w:rPr>
          <w:color w:val="000000"/>
        </w:rPr>
        <w:t xml:space="preserve"> ст. 39.13 Земельного кодекса Российской Федерации, направить победителю электронного аукциона или иному лицу, с которыми в соответствии с </w:t>
      </w:r>
      <w:hyperlink r:id="rId12" w:history="1">
        <w:r w:rsidRPr="0003052F">
          <w:rPr>
            <w:color w:val="000000"/>
          </w:rPr>
          <w:t>пунктами 13</w:t>
        </w:r>
      </w:hyperlink>
      <w:r w:rsidRPr="0003052F">
        <w:rPr>
          <w:color w:val="000000"/>
        </w:rPr>
        <w:t xml:space="preserve">, </w:t>
      </w:r>
      <w:hyperlink r:id="rId13" w:history="1">
        <w:r w:rsidRPr="0003052F">
          <w:rPr>
            <w:color w:val="000000"/>
          </w:rPr>
          <w:t>14</w:t>
        </w:r>
      </w:hyperlink>
      <w:r w:rsidRPr="0003052F">
        <w:rPr>
          <w:color w:val="000000"/>
        </w:rPr>
        <w:t xml:space="preserve">, </w:t>
      </w:r>
      <w:hyperlink r:id="rId14" w:history="1">
        <w:r w:rsidRPr="0003052F">
          <w:rPr>
            <w:color w:val="000000"/>
          </w:rPr>
          <w:t>20</w:t>
        </w:r>
      </w:hyperlink>
      <w:r w:rsidRPr="0003052F">
        <w:rPr>
          <w:color w:val="000000"/>
        </w:rPr>
        <w:t xml:space="preserve"> и </w:t>
      </w:r>
      <w:hyperlink r:id="rId15" w:history="1">
        <w:r w:rsidRPr="0003052F">
          <w:rPr>
            <w:color w:val="000000"/>
          </w:rPr>
          <w:t>25 статьи 39.12</w:t>
        </w:r>
      </w:hyperlink>
      <w:r w:rsidRPr="0003052F">
        <w:rPr>
          <w:color w:val="000000"/>
        </w:rPr>
        <w:t xml:space="preserve"> Земельного кодекса Российской Федерации заключается договор купли-продажи (аренды) земельного участка, подписанный проект договора купли-продажи (аренды) земельного участка.</w:t>
      </w:r>
    </w:p>
    <w:p w:rsidR="005E43D5" w:rsidRPr="0003052F" w:rsidRDefault="005E43D5" w:rsidP="005E43D5">
      <w:pPr>
        <w:autoSpaceDE w:val="0"/>
        <w:autoSpaceDN w:val="0"/>
        <w:adjustRightInd w:val="0"/>
        <w:jc w:val="both"/>
      </w:pPr>
      <w:r w:rsidRPr="0003052F">
        <w:lastRenderedPageBreak/>
        <w:t xml:space="preserve">Победитель или иное лицо, с которым заключается договор купли-продажи (аренды) земельного участка в соответствии с Земельным кодексом Российской Федерации, обязаны подписать договор указанный договор </w:t>
      </w:r>
      <w:r w:rsidRPr="0003052F">
        <w:rPr>
          <w:b/>
          <w:bCs/>
        </w:rPr>
        <w:t>в течение 10 (десяти) рабочих дней</w:t>
      </w:r>
      <w:r w:rsidRPr="0003052F">
        <w:t xml:space="preserve"> со дня направления им такого договора. </w:t>
      </w:r>
    </w:p>
    <w:p w:rsidR="005E43D5" w:rsidRPr="0003052F" w:rsidRDefault="005E43D5" w:rsidP="005E43D5">
      <w:pPr>
        <w:autoSpaceDE w:val="0"/>
        <w:autoSpaceDN w:val="0"/>
        <w:adjustRightInd w:val="0"/>
        <w:ind w:firstLine="720"/>
        <w:jc w:val="both"/>
      </w:pPr>
      <w:r w:rsidRPr="0003052F">
        <w:t xml:space="preserve">Если договор купли-продажи (аренды) земельного участка в течение 10 (десяти) рабочих дней со дня направления проекта договора аренды земельного участка Победителю не был им подписан, правообладатель имущества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w:t>
      </w:r>
    </w:p>
    <w:p w:rsidR="005E43D5" w:rsidRPr="0003052F" w:rsidRDefault="005E43D5" w:rsidP="005E43D5">
      <w:pPr>
        <w:autoSpaceDE w:val="0"/>
        <w:autoSpaceDN w:val="0"/>
        <w:adjustRightInd w:val="0"/>
        <w:ind w:firstLine="720"/>
        <w:jc w:val="both"/>
      </w:pPr>
      <w:r w:rsidRPr="0003052F">
        <w:t xml:space="preserve">В случае, если Победитель или иное лицо, с которым заключается договор купли-продажи (аренды) земельного участка, </w:t>
      </w:r>
      <w:r w:rsidRPr="0003052F">
        <w:rPr>
          <w:b/>
          <w:bCs/>
        </w:rPr>
        <w:t>в течение 10 (десяти) рабочих дней</w:t>
      </w:r>
      <w:r w:rsidRPr="0003052F">
        <w:t xml:space="preserve"> со дня направления правообладателем имущества проекта указанного договора купли-продажи (аренды) не подписал указанный договор, правообладатель в течение пяти рабочих дней со дня истечения этого срока направляет сведения в Федеральную антимонопольную службу России  для включения в реестр недобросовестных Участников аукциона. </w:t>
      </w:r>
    </w:p>
    <w:p w:rsidR="005E43D5" w:rsidRPr="0003052F" w:rsidRDefault="005E43D5" w:rsidP="005E43D5">
      <w:pPr>
        <w:autoSpaceDE w:val="0"/>
        <w:autoSpaceDN w:val="0"/>
        <w:adjustRightInd w:val="0"/>
        <w:ind w:firstLine="720"/>
        <w:jc w:val="both"/>
      </w:pPr>
      <w:r w:rsidRPr="0003052F">
        <w:t xml:space="preserve">В случае если в течение 10 (десяти) рабочих дней со дня направления лицу, подавшему единственную заявку на участие в аукционе, заявителю, признанному единственным участником аукциона, единственному принявшему участие в аукционе Участнику, а также Участнику, который сделал предпоследнее предложение о цене Предмета аукциона, проекта договора купли-продажи (аренды) земельного участка, данные лица не подписали указанный договор,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w:t>
      </w:r>
    </w:p>
    <w:p w:rsidR="005E43D5" w:rsidRPr="0003052F" w:rsidRDefault="005E43D5" w:rsidP="004005DA">
      <w:pPr>
        <w:tabs>
          <w:tab w:val="left" w:pos="709"/>
          <w:tab w:val="left" w:pos="851"/>
        </w:tabs>
        <w:contextualSpacing/>
        <w:jc w:val="both"/>
        <w:rPr>
          <w:b/>
          <w:bCs/>
        </w:rPr>
      </w:pPr>
      <w:r w:rsidRPr="0003052F">
        <w:rPr>
          <w:b/>
          <w:bCs/>
        </w:rPr>
        <w:tab/>
        <w:t xml:space="preserve">Отказ от проведения аукциона, внесение изменений в документацию об аукционе </w:t>
      </w:r>
    </w:p>
    <w:p w:rsidR="005E43D5" w:rsidRPr="0003052F" w:rsidRDefault="005E43D5" w:rsidP="004005DA">
      <w:pPr>
        <w:tabs>
          <w:tab w:val="left" w:pos="709"/>
          <w:tab w:val="left" w:pos="851"/>
        </w:tabs>
        <w:contextualSpacing/>
        <w:jc w:val="both"/>
      </w:pPr>
      <w:r w:rsidRPr="0003052F">
        <w:tab/>
        <w:t xml:space="preserve">Инициатор аукциона вправе отказаться от проведения аукциона в случаях, в любое время, но не позднее чем за три дня до наступления даты проведения аукциона (ст. 448 ГК РФ). </w:t>
      </w:r>
    </w:p>
    <w:p w:rsidR="005E43D5" w:rsidRPr="0003052F" w:rsidRDefault="005E43D5" w:rsidP="004005DA">
      <w:pPr>
        <w:tabs>
          <w:tab w:val="left" w:pos="709"/>
          <w:tab w:val="left" w:pos="851"/>
        </w:tabs>
        <w:contextualSpacing/>
        <w:jc w:val="both"/>
      </w:pPr>
      <w:r w:rsidRPr="0003052F">
        <w:tab/>
        <w:t xml:space="preserve">Возврат задатков Участникам аукциона (заявителям) осуществляется оператором ЭТП </w:t>
      </w:r>
      <w:r w:rsidRPr="0003052F">
        <w:br/>
        <w:t xml:space="preserve">в соответствии с регламентом. </w:t>
      </w:r>
    </w:p>
    <w:p w:rsidR="005E43D5" w:rsidRPr="0003052F" w:rsidRDefault="005E43D5" w:rsidP="004005DA">
      <w:pPr>
        <w:tabs>
          <w:tab w:val="left" w:pos="709"/>
          <w:tab w:val="left" w:pos="851"/>
        </w:tabs>
        <w:contextualSpacing/>
        <w:jc w:val="both"/>
      </w:pPr>
      <w:r w:rsidRPr="0003052F">
        <w:tab/>
        <w:t xml:space="preserve">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w:t>
      </w:r>
      <w:bookmarkStart w:id="0" w:name="_Hlk193722336"/>
      <w:r w:rsidRPr="0003052F">
        <w:t xml:space="preserve">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bookmarkEnd w:id="0"/>
    </w:p>
    <w:p w:rsidR="005E43D5" w:rsidRPr="0003052F" w:rsidRDefault="005E43D5" w:rsidP="004005DA">
      <w:pPr>
        <w:tabs>
          <w:tab w:val="left" w:pos="709"/>
          <w:tab w:val="left" w:pos="851"/>
        </w:tabs>
        <w:contextualSpacing/>
        <w:jc w:val="both"/>
      </w:pPr>
      <w:r w:rsidRPr="0003052F">
        <w:tab/>
        <w:t>В случае, если за один рабочий день до даты окончания приема заявок на участие в аукционе не поступило ни одной заявки, инициатор аукциона до момента окончания срока подачи заявок на участие в аукционе может принять решение о продлении срока подачи заявок. При этом срок подачи заявок на участие в аукционе должен продляется таким образом, чтобы до новой даты проведения аукциона срок составлял не менее десяти рабочих дней.</w:t>
      </w:r>
    </w:p>
    <w:p w:rsidR="005E43D5" w:rsidRDefault="005E43D5" w:rsidP="00C25B32">
      <w:pPr>
        <w:tabs>
          <w:tab w:val="left" w:pos="0"/>
        </w:tabs>
        <w:ind w:firstLine="567"/>
        <w:jc w:val="both"/>
        <w:rPr>
          <w:rFonts w:eastAsia="Calibri"/>
        </w:rPr>
      </w:pPr>
    </w:p>
    <w:p w:rsidR="00BA6136" w:rsidRPr="00C25B32" w:rsidRDefault="007556D7" w:rsidP="001B03A8">
      <w:pPr>
        <w:ind w:firstLine="426"/>
        <w:jc w:val="both"/>
        <w:rPr>
          <w:bCs/>
        </w:rPr>
      </w:pPr>
      <w:r w:rsidRPr="00C25B32">
        <w:t xml:space="preserve">Извещение о проведении аукциона опубликовано на официальном сайте Российской Федерации в сети Интернет для размещения информации о проведении торгов: </w:t>
      </w:r>
      <w:hyperlink r:id="rId16" w:history="1">
        <w:r w:rsidRPr="00C25B32">
          <w:rPr>
            <w:rStyle w:val="ad"/>
            <w:lang w:val="en-US"/>
          </w:rPr>
          <w:t>www</w:t>
        </w:r>
        <w:r w:rsidRPr="00C25B32">
          <w:rPr>
            <w:rStyle w:val="ad"/>
          </w:rPr>
          <w:t>.</w:t>
        </w:r>
        <w:r w:rsidRPr="00C25B32">
          <w:rPr>
            <w:rStyle w:val="ad"/>
            <w:lang w:val="en-US"/>
          </w:rPr>
          <w:t>torgi</w:t>
        </w:r>
        <w:r w:rsidRPr="00C25B32">
          <w:rPr>
            <w:rStyle w:val="ad"/>
          </w:rPr>
          <w:t>.</w:t>
        </w:r>
        <w:r w:rsidRPr="00C25B32">
          <w:rPr>
            <w:rStyle w:val="ad"/>
            <w:lang w:val="en-US"/>
          </w:rPr>
          <w:t>gov</w:t>
        </w:r>
        <w:r w:rsidRPr="00C25B32">
          <w:rPr>
            <w:rStyle w:val="ad"/>
          </w:rPr>
          <w:t>.</w:t>
        </w:r>
        <w:r w:rsidRPr="00C25B32">
          <w:rPr>
            <w:rStyle w:val="ad"/>
            <w:lang w:val="en-US"/>
          </w:rPr>
          <w:t>ru</w:t>
        </w:r>
      </w:hyperlink>
      <w:r w:rsidRPr="00C25B32">
        <w:t xml:space="preserve">, на официальном сайте Администрации Тутаевского муниципального района </w:t>
      </w:r>
      <w:hyperlink r:id="rId17" w:history="1">
        <w:r w:rsidRPr="00C25B32">
          <w:rPr>
            <w:rStyle w:val="ad"/>
          </w:rPr>
          <w:t>http://www.</w:t>
        </w:r>
        <w:r w:rsidRPr="00C25B32">
          <w:rPr>
            <w:rStyle w:val="ad"/>
            <w:lang w:val="en-US"/>
          </w:rPr>
          <w:t>admtmr</w:t>
        </w:r>
        <w:r w:rsidRPr="00C25B32">
          <w:rPr>
            <w:rStyle w:val="ad"/>
          </w:rPr>
          <w:t>.ru</w:t>
        </w:r>
      </w:hyperlink>
      <w:r w:rsidRPr="00C25B32">
        <w:t>, и на электронной площадке</w:t>
      </w:r>
      <w:r w:rsidR="005E5A73" w:rsidRPr="00C25B32">
        <w:t>.</w:t>
      </w:r>
    </w:p>
    <w:p w:rsidR="007556D7" w:rsidRPr="00C25B32" w:rsidRDefault="007556D7" w:rsidP="001B03A8">
      <w:pPr>
        <w:ind w:firstLine="426"/>
        <w:jc w:val="both"/>
      </w:pPr>
      <w:r w:rsidRPr="00C25B32">
        <w:rPr>
          <w:bCs/>
        </w:rPr>
        <w:t>Ознакомиться с информацией о проведении аукциона, документацией на земельные участки, формой заявки на участие в аукционе, проектом договора аренды земельного участка можнос момента начала приема заявок на сайте электронной площадки</w:t>
      </w:r>
      <w:r w:rsidR="00CB0465">
        <w:rPr>
          <w:bCs/>
        </w:rPr>
        <w:t xml:space="preserve">, </w:t>
      </w:r>
      <w:r w:rsidRPr="00C25B32">
        <w:rPr>
          <w:bCs/>
        </w:rPr>
        <w:t xml:space="preserve">в Управлении муниципального имущества Администрации Тутаевского муниципального района: </w:t>
      </w:r>
      <w:r w:rsidRPr="00C25B32">
        <w:t>по адресу: Ярославская область, г.Тутаев, ул.Луначарского, д.105,</w:t>
      </w:r>
      <w:r w:rsidRPr="00C25B32">
        <w:rPr>
          <w:bCs/>
        </w:rPr>
        <w:t xml:space="preserve"> в рабочие дни </w:t>
      </w:r>
      <w:r w:rsidRPr="00C25B32">
        <w:rPr>
          <w:b/>
          <w:bCs/>
        </w:rPr>
        <w:t>с 09.00</w:t>
      </w:r>
      <w:r w:rsidRPr="00C25B32">
        <w:rPr>
          <w:bCs/>
        </w:rPr>
        <w:t xml:space="preserve"> ч. по </w:t>
      </w:r>
      <w:r w:rsidRPr="00C25B32">
        <w:rPr>
          <w:b/>
          <w:bCs/>
        </w:rPr>
        <w:t>16.00</w:t>
      </w:r>
      <w:r w:rsidRPr="00C25B32">
        <w:rPr>
          <w:bCs/>
        </w:rPr>
        <w:t xml:space="preserve"> ч. тел. </w:t>
      </w:r>
      <w:r w:rsidR="00BA6136" w:rsidRPr="00C25B32">
        <w:rPr>
          <w:bCs/>
        </w:rPr>
        <w:t xml:space="preserve">(48533) </w:t>
      </w:r>
      <w:r w:rsidRPr="00C25B32">
        <w:rPr>
          <w:bCs/>
        </w:rPr>
        <w:t xml:space="preserve">2-00-55; </w:t>
      </w:r>
      <w:r w:rsidRPr="00C25B32">
        <w:t xml:space="preserve">на официальном сайте Администрации Тутаевского муниципального района </w:t>
      </w:r>
      <w:hyperlink r:id="rId18" w:history="1">
        <w:r w:rsidRPr="00C25B32">
          <w:rPr>
            <w:rStyle w:val="ad"/>
          </w:rPr>
          <w:t>http://www.</w:t>
        </w:r>
        <w:r w:rsidRPr="00C25B32">
          <w:rPr>
            <w:rStyle w:val="ad"/>
            <w:lang w:val="en-US"/>
          </w:rPr>
          <w:t>admtmr</w:t>
        </w:r>
        <w:r w:rsidRPr="00C25B32">
          <w:rPr>
            <w:rStyle w:val="ad"/>
          </w:rPr>
          <w:t>.ru</w:t>
        </w:r>
      </w:hyperlink>
      <w:r w:rsidRPr="00C25B32">
        <w:t>.</w:t>
      </w:r>
    </w:p>
    <w:p w:rsidR="007556D7" w:rsidRPr="00C25B32" w:rsidRDefault="007556D7" w:rsidP="001B03A8">
      <w:pPr>
        <w:ind w:firstLine="426"/>
        <w:jc w:val="both"/>
      </w:pPr>
    </w:p>
    <w:p w:rsidR="00EC427F" w:rsidRPr="00C25B32" w:rsidRDefault="00EC427F" w:rsidP="001B03A8">
      <w:pPr>
        <w:tabs>
          <w:tab w:val="left" w:pos="709"/>
        </w:tabs>
        <w:spacing w:line="276" w:lineRule="auto"/>
        <w:ind w:firstLine="426"/>
        <w:contextualSpacing/>
        <w:jc w:val="both"/>
        <w:rPr>
          <w:color w:val="FF0000"/>
        </w:rPr>
      </w:pPr>
    </w:p>
    <w:sectPr w:rsidR="00EC427F" w:rsidRPr="00C25B32" w:rsidSect="009B1BA8">
      <w:headerReference w:type="default" r:id="rId19"/>
      <w:pgSz w:w="11906" w:h="16838"/>
      <w:pgMar w:top="142" w:right="707" w:bottom="567"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24B" w:rsidRDefault="0095524B" w:rsidP="008766CA">
      <w:r>
        <w:separator/>
      </w:r>
    </w:p>
  </w:endnote>
  <w:endnote w:type="continuationSeparator" w:id="1">
    <w:p w:rsidR="0095524B" w:rsidRDefault="0095524B" w:rsidP="00876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24B" w:rsidRDefault="0095524B" w:rsidP="008766CA">
      <w:r>
        <w:separator/>
      </w:r>
    </w:p>
  </w:footnote>
  <w:footnote w:type="continuationSeparator" w:id="1">
    <w:p w:rsidR="0095524B" w:rsidRDefault="0095524B" w:rsidP="00876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7F" w:rsidRDefault="00CE00C0">
    <w:pPr>
      <w:pStyle w:val="a9"/>
      <w:jc w:val="center"/>
    </w:pPr>
    <w:r>
      <w:fldChar w:fldCharType="begin"/>
    </w:r>
    <w:r w:rsidR="00B91329">
      <w:instrText>PAGE   \* MERGEFORMAT</w:instrText>
    </w:r>
    <w:r>
      <w:fldChar w:fldCharType="separate"/>
    </w:r>
    <w:r w:rsidR="00211EC8">
      <w:rPr>
        <w:noProof/>
      </w:rPr>
      <w:t>6</w:t>
    </w:r>
    <w:r>
      <w:rPr>
        <w:noProof/>
      </w:rPr>
      <w:fldChar w:fldCharType="end"/>
    </w:r>
  </w:p>
  <w:p w:rsidR="0032107F" w:rsidRDefault="0032107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D34"/>
    <w:multiLevelType w:val="singleLevel"/>
    <w:tmpl w:val="EC8C4FB2"/>
    <w:lvl w:ilvl="0">
      <w:start w:val="5"/>
      <w:numFmt w:val="decimal"/>
      <w:lvlText w:val="%1."/>
      <w:legacy w:legacy="1" w:legacySpace="0" w:legacyIndent="384"/>
      <w:lvlJc w:val="left"/>
      <w:rPr>
        <w:rFonts w:ascii="Times New Roman" w:hAnsi="Times New Roman" w:cs="Times New Roman" w:hint="default"/>
      </w:rPr>
    </w:lvl>
  </w:abstractNum>
  <w:abstractNum w:abstractNumId="1">
    <w:nsid w:val="16795A3D"/>
    <w:multiLevelType w:val="hybridMultilevel"/>
    <w:tmpl w:val="844CE4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07B529B"/>
    <w:multiLevelType w:val="singleLevel"/>
    <w:tmpl w:val="9D08E72A"/>
    <w:lvl w:ilvl="0">
      <w:numFmt w:val="bullet"/>
      <w:lvlText w:val="-"/>
      <w:lvlJc w:val="left"/>
      <w:pPr>
        <w:tabs>
          <w:tab w:val="num" w:pos="360"/>
        </w:tabs>
        <w:ind w:left="360" w:hanging="360"/>
      </w:pPr>
      <w:rPr>
        <w:rFonts w:hint="default"/>
      </w:rPr>
    </w:lvl>
  </w:abstractNum>
  <w:abstractNum w:abstractNumId="3">
    <w:nsid w:val="22F26142"/>
    <w:multiLevelType w:val="singleLevel"/>
    <w:tmpl w:val="BFFA6E24"/>
    <w:lvl w:ilvl="0">
      <w:start w:val="2"/>
      <w:numFmt w:val="decimal"/>
      <w:lvlText w:val="%1."/>
      <w:lvlJc w:val="left"/>
      <w:pPr>
        <w:tabs>
          <w:tab w:val="num" w:pos="1069"/>
        </w:tabs>
        <w:ind w:left="1069" w:hanging="360"/>
      </w:pPr>
      <w:rPr>
        <w:rFonts w:hint="default"/>
      </w:rPr>
    </w:lvl>
  </w:abstractNum>
  <w:abstractNum w:abstractNumId="4">
    <w:nsid w:val="309466A4"/>
    <w:multiLevelType w:val="hybridMultilevel"/>
    <w:tmpl w:val="63A8A84E"/>
    <w:lvl w:ilvl="0" w:tplc="B31A7A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nsid w:val="3C8C7575"/>
    <w:multiLevelType w:val="multilevel"/>
    <w:tmpl w:val="A1D263E6"/>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rPr>
    </w:lvl>
    <w:lvl w:ilvl="2">
      <w:start w:val="1"/>
      <w:numFmt w:val="decimal"/>
      <w:lvlText w:val="%1.%2.%3"/>
      <w:lvlJc w:val="left"/>
      <w:pPr>
        <w:ind w:left="2558" w:hanging="1140"/>
      </w:pPr>
      <w:rPr>
        <w:rFonts w:hint="default"/>
        <w:b/>
      </w:rPr>
    </w:lvl>
    <w:lvl w:ilvl="3">
      <w:start w:val="1"/>
      <w:numFmt w:val="decimal"/>
      <w:lvlText w:val="%1.%2.%3.%4"/>
      <w:lvlJc w:val="left"/>
      <w:pPr>
        <w:ind w:left="3267" w:hanging="1140"/>
      </w:pPr>
      <w:rPr>
        <w:rFonts w:hint="default"/>
        <w:b/>
      </w:rPr>
    </w:lvl>
    <w:lvl w:ilvl="4">
      <w:start w:val="1"/>
      <w:numFmt w:val="decimal"/>
      <w:lvlText w:val="%1.%2.%3.%4.%5"/>
      <w:lvlJc w:val="left"/>
      <w:pPr>
        <w:ind w:left="3976" w:hanging="1140"/>
      </w:pPr>
      <w:rPr>
        <w:rFonts w:hint="default"/>
        <w:b/>
      </w:rPr>
    </w:lvl>
    <w:lvl w:ilvl="5">
      <w:start w:val="1"/>
      <w:numFmt w:val="decimal"/>
      <w:lvlText w:val="%1.%2.%3.%4.%5.%6"/>
      <w:lvlJc w:val="left"/>
      <w:pPr>
        <w:ind w:left="4685" w:hanging="1140"/>
      </w:pPr>
      <w:rPr>
        <w:rFonts w:hint="default"/>
        <w:b/>
      </w:rPr>
    </w:lvl>
    <w:lvl w:ilvl="6">
      <w:start w:val="1"/>
      <w:numFmt w:val="decimal"/>
      <w:lvlText w:val="%1.%2.%3.%4.%5.%6.%7"/>
      <w:lvlJc w:val="left"/>
      <w:pPr>
        <w:ind w:left="5394" w:hanging="11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6">
    <w:nsid w:val="43DD2763"/>
    <w:multiLevelType w:val="hybridMultilevel"/>
    <w:tmpl w:val="14821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1205DF"/>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5B482DC2"/>
    <w:multiLevelType w:val="singleLevel"/>
    <w:tmpl w:val="64103824"/>
    <w:lvl w:ilvl="0">
      <w:start w:val="2"/>
      <w:numFmt w:val="decimal"/>
      <w:lvlText w:val="%1."/>
      <w:lvlJc w:val="left"/>
      <w:pPr>
        <w:tabs>
          <w:tab w:val="num" w:pos="1069"/>
        </w:tabs>
        <w:ind w:left="1069" w:hanging="360"/>
      </w:pPr>
      <w:rPr>
        <w:rFonts w:hint="default"/>
      </w:rPr>
    </w:lvl>
  </w:abstractNum>
  <w:abstractNum w:abstractNumId="9">
    <w:nsid w:val="5CFD32C8"/>
    <w:multiLevelType w:val="singleLevel"/>
    <w:tmpl w:val="9D08E72A"/>
    <w:lvl w:ilvl="0">
      <w:numFmt w:val="bullet"/>
      <w:lvlText w:val="-"/>
      <w:lvlJc w:val="left"/>
      <w:pPr>
        <w:tabs>
          <w:tab w:val="num" w:pos="360"/>
        </w:tabs>
        <w:ind w:left="360" w:hanging="360"/>
      </w:pPr>
      <w:rPr>
        <w:rFonts w:hint="default"/>
      </w:rPr>
    </w:lvl>
  </w:abstractNum>
  <w:abstractNum w:abstractNumId="10">
    <w:nsid w:val="67F562F6"/>
    <w:multiLevelType w:val="hybridMultilevel"/>
    <w:tmpl w:val="08F4B60A"/>
    <w:lvl w:ilvl="0" w:tplc="85D0FA8A">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1">
    <w:nsid w:val="67FB5F97"/>
    <w:multiLevelType w:val="hybridMultilevel"/>
    <w:tmpl w:val="04AC7A9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6B15436A"/>
    <w:multiLevelType w:val="hybridMultilevel"/>
    <w:tmpl w:val="12966780"/>
    <w:lvl w:ilvl="0" w:tplc="0BF640B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6C525B25"/>
    <w:multiLevelType w:val="hybridMultilevel"/>
    <w:tmpl w:val="CA5A5C90"/>
    <w:lvl w:ilvl="0" w:tplc="8066565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745669DB"/>
    <w:multiLevelType w:val="hybridMultilevel"/>
    <w:tmpl w:val="632AE0DC"/>
    <w:lvl w:ilvl="0" w:tplc="EA1E2A48">
      <w:start w:val="1"/>
      <w:numFmt w:val="decimal"/>
      <w:lvlText w:val="%1."/>
      <w:lvlJc w:val="left"/>
      <w:pPr>
        <w:ind w:left="1070" w:hanging="360"/>
      </w:pPr>
      <w:rPr>
        <w:b/>
      </w:rPr>
    </w:lvl>
    <w:lvl w:ilvl="1" w:tplc="04190019">
      <w:start w:val="1"/>
      <w:numFmt w:val="decimal"/>
      <w:lvlText w:val="%2."/>
      <w:lvlJc w:val="left"/>
      <w:pPr>
        <w:tabs>
          <w:tab w:val="num" w:pos="1441"/>
        </w:tabs>
        <w:ind w:left="1441"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15">
    <w:nsid w:val="784C5280"/>
    <w:multiLevelType w:val="hybridMultilevel"/>
    <w:tmpl w:val="5B00A65A"/>
    <w:lvl w:ilvl="0" w:tplc="1646E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CF52146"/>
    <w:multiLevelType w:val="hybridMultilevel"/>
    <w:tmpl w:val="394434DE"/>
    <w:lvl w:ilvl="0" w:tplc="877AB5D0">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7F1B01E2"/>
    <w:multiLevelType w:val="singleLevel"/>
    <w:tmpl w:val="F67A70D4"/>
    <w:lvl w:ilvl="0">
      <w:numFmt w:val="bullet"/>
      <w:lvlText w:val="-"/>
      <w:lvlJc w:val="left"/>
      <w:pPr>
        <w:tabs>
          <w:tab w:val="num" w:pos="360"/>
        </w:tabs>
        <w:ind w:left="360" w:hanging="360"/>
      </w:pPr>
      <w:rPr>
        <w:rFonts w:hint="default"/>
      </w:rPr>
    </w:lvl>
  </w:abstractNum>
  <w:num w:numId="1">
    <w:abstractNumId w:val="2"/>
  </w:num>
  <w:num w:numId="2">
    <w:abstractNumId w:val="9"/>
  </w:num>
  <w:num w:numId="3">
    <w:abstractNumId w:val="7"/>
  </w:num>
  <w:num w:numId="4">
    <w:abstractNumId w:val="8"/>
  </w:num>
  <w:num w:numId="5">
    <w:abstractNumId w:val="3"/>
  </w:num>
  <w:num w:numId="6">
    <w:abstractNumId w:val="17"/>
  </w:num>
  <w:num w:numId="7">
    <w:abstractNumId w:val="11"/>
  </w:num>
  <w:num w:numId="8">
    <w:abstractNumId w:val="0"/>
  </w:num>
  <w:num w:numId="9">
    <w:abstractNumId w:val="6"/>
  </w:num>
  <w:num w:numId="10">
    <w:abstractNumId w:val="1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4"/>
  </w:num>
  <w:num w:numId="15">
    <w:abstractNumId w:val="10"/>
  </w:num>
  <w:num w:numId="16">
    <w:abstractNumId w:val="16"/>
  </w:num>
  <w:num w:numId="17">
    <w:abstractNumId w:val="1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E5796"/>
    <w:rsid w:val="000016BB"/>
    <w:rsid w:val="0000295F"/>
    <w:rsid w:val="0000322D"/>
    <w:rsid w:val="00005C56"/>
    <w:rsid w:val="000078E9"/>
    <w:rsid w:val="000133D0"/>
    <w:rsid w:val="00013972"/>
    <w:rsid w:val="000147A2"/>
    <w:rsid w:val="000149D2"/>
    <w:rsid w:val="0001615D"/>
    <w:rsid w:val="00017FE3"/>
    <w:rsid w:val="00020B5E"/>
    <w:rsid w:val="00021372"/>
    <w:rsid w:val="00021976"/>
    <w:rsid w:val="00022675"/>
    <w:rsid w:val="00022D70"/>
    <w:rsid w:val="000249DA"/>
    <w:rsid w:val="00025637"/>
    <w:rsid w:val="00026E5E"/>
    <w:rsid w:val="000316D1"/>
    <w:rsid w:val="000343A9"/>
    <w:rsid w:val="0003493B"/>
    <w:rsid w:val="0003602B"/>
    <w:rsid w:val="000432A6"/>
    <w:rsid w:val="000441EE"/>
    <w:rsid w:val="00044618"/>
    <w:rsid w:val="00051EDE"/>
    <w:rsid w:val="00052021"/>
    <w:rsid w:val="000524F5"/>
    <w:rsid w:val="000546B1"/>
    <w:rsid w:val="000546F2"/>
    <w:rsid w:val="00056303"/>
    <w:rsid w:val="0006067D"/>
    <w:rsid w:val="00060809"/>
    <w:rsid w:val="000620FD"/>
    <w:rsid w:val="00062642"/>
    <w:rsid w:val="00065182"/>
    <w:rsid w:val="00066D9C"/>
    <w:rsid w:val="000676C3"/>
    <w:rsid w:val="000710FE"/>
    <w:rsid w:val="00071493"/>
    <w:rsid w:val="00081314"/>
    <w:rsid w:val="00083874"/>
    <w:rsid w:val="00084FD2"/>
    <w:rsid w:val="0008522C"/>
    <w:rsid w:val="00085E4F"/>
    <w:rsid w:val="00090E79"/>
    <w:rsid w:val="000957CA"/>
    <w:rsid w:val="00096297"/>
    <w:rsid w:val="000A3F82"/>
    <w:rsid w:val="000A3FCC"/>
    <w:rsid w:val="000A44CC"/>
    <w:rsid w:val="000A74AD"/>
    <w:rsid w:val="000A796B"/>
    <w:rsid w:val="000B0FA6"/>
    <w:rsid w:val="000B1A35"/>
    <w:rsid w:val="000B677E"/>
    <w:rsid w:val="000B7328"/>
    <w:rsid w:val="000B75DB"/>
    <w:rsid w:val="000B7D54"/>
    <w:rsid w:val="000C08DD"/>
    <w:rsid w:val="000C0ADD"/>
    <w:rsid w:val="000C4D44"/>
    <w:rsid w:val="000C5124"/>
    <w:rsid w:val="000D05E5"/>
    <w:rsid w:val="000D083D"/>
    <w:rsid w:val="000D21A5"/>
    <w:rsid w:val="000D3205"/>
    <w:rsid w:val="000D628C"/>
    <w:rsid w:val="000D70F3"/>
    <w:rsid w:val="000E0A1C"/>
    <w:rsid w:val="000E2327"/>
    <w:rsid w:val="000E30F1"/>
    <w:rsid w:val="000E58FD"/>
    <w:rsid w:val="000E621B"/>
    <w:rsid w:val="000E64F8"/>
    <w:rsid w:val="000F000D"/>
    <w:rsid w:val="000F0172"/>
    <w:rsid w:val="000F2E7A"/>
    <w:rsid w:val="000F3A9A"/>
    <w:rsid w:val="000F5A9D"/>
    <w:rsid w:val="00100DA6"/>
    <w:rsid w:val="00101965"/>
    <w:rsid w:val="00101BBE"/>
    <w:rsid w:val="00103572"/>
    <w:rsid w:val="00103D3B"/>
    <w:rsid w:val="001040A9"/>
    <w:rsid w:val="001044AE"/>
    <w:rsid w:val="00106990"/>
    <w:rsid w:val="00107254"/>
    <w:rsid w:val="00107413"/>
    <w:rsid w:val="00110551"/>
    <w:rsid w:val="0011123E"/>
    <w:rsid w:val="00112206"/>
    <w:rsid w:val="0011429B"/>
    <w:rsid w:val="0011475C"/>
    <w:rsid w:val="001152A3"/>
    <w:rsid w:val="00116137"/>
    <w:rsid w:val="001163C7"/>
    <w:rsid w:val="001172A5"/>
    <w:rsid w:val="00117C1A"/>
    <w:rsid w:val="001202CA"/>
    <w:rsid w:val="00121055"/>
    <w:rsid w:val="0012130E"/>
    <w:rsid w:val="00121F14"/>
    <w:rsid w:val="0012604B"/>
    <w:rsid w:val="00126542"/>
    <w:rsid w:val="00132EAA"/>
    <w:rsid w:val="00134203"/>
    <w:rsid w:val="0013527D"/>
    <w:rsid w:val="001418F8"/>
    <w:rsid w:val="00144C69"/>
    <w:rsid w:val="00144E4B"/>
    <w:rsid w:val="0014714B"/>
    <w:rsid w:val="00152B01"/>
    <w:rsid w:val="00152BF2"/>
    <w:rsid w:val="001550EA"/>
    <w:rsid w:val="00156983"/>
    <w:rsid w:val="00160AFA"/>
    <w:rsid w:val="00163925"/>
    <w:rsid w:val="00163EEC"/>
    <w:rsid w:val="00165FB8"/>
    <w:rsid w:val="00175AFE"/>
    <w:rsid w:val="001866F4"/>
    <w:rsid w:val="00186DD9"/>
    <w:rsid w:val="00190EB9"/>
    <w:rsid w:val="00191519"/>
    <w:rsid w:val="00193E05"/>
    <w:rsid w:val="00194FF2"/>
    <w:rsid w:val="00195068"/>
    <w:rsid w:val="0019776C"/>
    <w:rsid w:val="001A0726"/>
    <w:rsid w:val="001A1139"/>
    <w:rsid w:val="001A1D8D"/>
    <w:rsid w:val="001A28F4"/>
    <w:rsid w:val="001A38D0"/>
    <w:rsid w:val="001A554C"/>
    <w:rsid w:val="001B03A8"/>
    <w:rsid w:val="001B0EF6"/>
    <w:rsid w:val="001B2533"/>
    <w:rsid w:val="001B2EF4"/>
    <w:rsid w:val="001B38B8"/>
    <w:rsid w:val="001B6AC2"/>
    <w:rsid w:val="001B7F6A"/>
    <w:rsid w:val="001C10C7"/>
    <w:rsid w:val="001C257E"/>
    <w:rsid w:val="001C5947"/>
    <w:rsid w:val="001C7597"/>
    <w:rsid w:val="001D0A9D"/>
    <w:rsid w:val="001D190A"/>
    <w:rsid w:val="001D2B1F"/>
    <w:rsid w:val="001D2CA1"/>
    <w:rsid w:val="001D4104"/>
    <w:rsid w:val="001D48F2"/>
    <w:rsid w:val="001D4F45"/>
    <w:rsid w:val="001D69B5"/>
    <w:rsid w:val="001E11B0"/>
    <w:rsid w:val="001E40EC"/>
    <w:rsid w:val="001E454A"/>
    <w:rsid w:val="001F1EDA"/>
    <w:rsid w:val="001F2446"/>
    <w:rsid w:val="001F2CDF"/>
    <w:rsid w:val="0020042C"/>
    <w:rsid w:val="002008A5"/>
    <w:rsid w:val="00201CD1"/>
    <w:rsid w:val="00203043"/>
    <w:rsid w:val="00203A9D"/>
    <w:rsid w:val="00205E05"/>
    <w:rsid w:val="002109E5"/>
    <w:rsid w:val="00210D87"/>
    <w:rsid w:val="00211EC8"/>
    <w:rsid w:val="00214C3C"/>
    <w:rsid w:val="002155EB"/>
    <w:rsid w:val="00220FDA"/>
    <w:rsid w:val="002213B5"/>
    <w:rsid w:val="002237C7"/>
    <w:rsid w:val="00223FC5"/>
    <w:rsid w:val="002278B5"/>
    <w:rsid w:val="00230594"/>
    <w:rsid w:val="00232899"/>
    <w:rsid w:val="00233AAB"/>
    <w:rsid w:val="00241BCD"/>
    <w:rsid w:val="0024460E"/>
    <w:rsid w:val="002463C6"/>
    <w:rsid w:val="0024648C"/>
    <w:rsid w:val="00247060"/>
    <w:rsid w:val="00250177"/>
    <w:rsid w:val="002524C9"/>
    <w:rsid w:val="00257168"/>
    <w:rsid w:val="00260813"/>
    <w:rsid w:val="00260EF2"/>
    <w:rsid w:val="00262B67"/>
    <w:rsid w:val="002630A9"/>
    <w:rsid w:val="002635D4"/>
    <w:rsid w:val="0026517F"/>
    <w:rsid w:val="00266046"/>
    <w:rsid w:val="00266628"/>
    <w:rsid w:val="00273C92"/>
    <w:rsid w:val="002817D6"/>
    <w:rsid w:val="002907F5"/>
    <w:rsid w:val="002962CD"/>
    <w:rsid w:val="002966BC"/>
    <w:rsid w:val="002A1183"/>
    <w:rsid w:val="002A60F4"/>
    <w:rsid w:val="002B0391"/>
    <w:rsid w:val="002B3711"/>
    <w:rsid w:val="002B67C5"/>
    <w:rsid w:val="002B6C98"/>
    <w:rsid w:val="002C192A"/>
    <w:rsid w:val="002C2105"/>
    <w:rsid w:val="002C3C95"/>
    <w:rsid w:val="002C4A1B"/>
    <w:rsid w:val="002C5479"/>
    <w:rsid w:val="002C6819"/>
    <w:rsid w:val="002D271E"/>
    <w:rsid w:val="002D2CF1"/>
    <w:rsid w:val="002D4F8E"/>
    <w:rsid w:val="002E014F"/>
    <w:rsid w:val="002E0F5F"/>
    <w:rsid w:val="002E1E7D"/>
    <w:rsid w:val="002E2FEB"/>
    <w:rsid w:val="002E30F8"/>
    <w:rsid w:val="002E40DA"/>
    <w:rsid w:val="002E4A8E"/>
    <w:rsid w:val="002E5514"/>
    <w:rsid w:val="002E5E91"/>
    <w:rsid w:val="002E7133"/>
    <w:rsid w:val="002E730E"/>
    <w:rsid w:val="002F0017"/>
    <w:rsid w:val="002F3B4A"/>
    <w:rsid w:val="002F6D34"/>
    <w:rsid w:val="00301881"/>
    <w:rsid w:val="00301B56"/>
    <w:rsid w:val="00303D6B"/>
    <w:rsid w:val="0030415C"/>
    <w:rsid w:val="0030609F"/>
    <w:rsid w:val="003120DF"/>
    <w:rsid w:val="00312C4D"/>
    <w:rsid w:val="00314D07"/>
    <w:rsid w:val="003166C9"/>
    <w:rsid w:val="00317105"/>
    <w:rsid w:val="00320286"/>
    <w:rsid w:val="00320B2A"/>
    <w:rsid w:val="0032107F"/>
    <w:rsid w:val="00322047"/>
    <w:rsid w:val="00327CFF"/>
    <w:rsid w:val="0033597A"/>
    <w:rsid w:val="003371EB"/>
    <w:rsid w:val="00341044"/>
    <w:rsid w:val="00341672"/>
    <w:rsid w:val="00343F4D"/>
    <w:rsid w:val="00345FE2"/>
    <w:rsid w:val="00350719"/>
    <w:rsid w:val="00350A30"/>
    <w:rsid w:val="00350BFC"/>
    <w:rsid w:val="00351887"/>
    <w:rsid w:val="00353673"/>
    <w:rsid w:val="00354E51"/>
    <w:rsid w:val="00357861"/>
    <w:rsid w:val="00361CA5"/>
    <w:rsid w:val="00361E1B"/>
    <w:rsid w:val="00363722"/>
    <w:rsid w:val="003649E0"/>
    <w:rsid w:val="00367E06"/>
    <w:rsid w:val="0037185A"/>
    <w:rsid w:val="00376B5F"/>
    <w:rsid w:val="00377B2D"/>
    <w:rsid w:val="00383838"/>
    <w:rsid w:val="0038669A"/>
    <w:rsid w:val="003871E5"/>
    <w:rsid w:val="003876A9"/>
    <w:rsid w:val="00387918"/>
    <w:rsid w:val="00392589"/>
    <w:rsid w:val="00393C2B"/>
    <w:rsid w:val="0039475F"/>
    <w:rsid w:val="003A054E"/>
    <w:rsid w:val="003A0F77"/>
    <w:rsid w:val="003A1B41"/>
    <w:rsid w:val="003A1FF1"/>
    <w:rsid w:val="003A2B3E"/>
    <w:rsid w:val="003A66C9"/>
    <w:rsid w:val="003A7394"/>
    <w:rsid w:val="003B014C"/>
    <w:rsid w:val="003B5248"/>
    <w:rsid w:val="003B55FD"/>
    <w:rsid w:val="003C4601"/>
    <w:rsid w:val="003C79AB"/>
    <w:rsid w:val="003D1299"/>
    <w:rsid w:val="003D1553"/>
    <w:rsid w:val="003D2C3F"/>
    <w:rsid w:val="003D72C7"/>
    <w:rsid w:val="003E0D2B"/>
    <w:rsid w:val="003E6051"/>
    <w:rsid w:val="003E6109"/>
    <w:rsid w:val="003E74DC"/>
    <w:rsid w:val="003F00C4"/>
    <w:rsid w:val="003F0453"/>
    <w:rsid w:val="003F0CED"/>
    <w:rsid w:val="003F16DD"/>
    <w:rsid w:val="003F4250"/>
    <w:rsid w:val="003F72E7"/>
    <w:rsid w:val="003F790B"/>
    <w:rsid w:val="003F7E58"/>
    <w:rsid w:val="004005DA"/>
    <w:rsid w:val="00403869"/>
    <w:rsid w:val="004056C7"/>
    <w:rsid w:val="00407638"/>
    <w:rsid w:val="00410BEA"/>
    <w:rsid w:val="00413E40"/>
    <w:rsid w:val="004153EF"/>
    <w:rsid w:val="0041785E"/>
    <w:rsid w:val="004213D0"/>
    <w:rsid w:val="004216B3"/>
    <w:rsid w:val="00424132"/>
    <w:rsid w:val="004300D2"/>
    <w:rsid w:val="0043166C"/>
    <w:rsid w:val="004326F5"/>
    <w:rsid w:val="00433B2D"/>
    <w:rsid w:val="00435959"/>
    <w:rsid w:val="00437E9F"/>
    <w:rsid w:val="004412A5"/>
    <w:rsid w:val="004416C1"/>
    <w:rsid w:val="00445108"/>
    <w:rsid w:val="0044758B"/>
    <w:rsid w:val="00451475"/>
    <w:rsid w:val="00454DCF"/>
    <w:rsid w:val="00456305"/>
    <w:rsid w:val="004603FE"/>
    <w:rsid w:val="00461C1C"/>
    <w:rsid w:val="004632DC"/>
    <w:rsid w:val="00470A55"/>
    <w:rsid w:val="00472677"/>
    <w:rsid w:val="004775AE"/>
    <w:rsid w:val="004806D3"/>
    <w:rsid w:val="0048160F"/>
    <w:rsid w:val="004840E8"/>
    <w:rsid w:val="00486ABD"/>
    <w:rsid w:val="00495B5D"/>
    <w:rsid w:val="00495F74"/>
    <w:rsid w:val="00495FB0"/>
    <w:rsid w:val="004966D4"/>
    <w:rsid w:val="0049685C"/>
    <w:rsid w:val="0049715E"/>
    <w:rsid w:val="004A18D3"/>
    <w:rsid w:val="004A6E38"/>
    <w:rsid w:val="004B1374"/>
    <w:rsid w:val="004B30E0"/>
    <w:rsid w:val="004B4EA6"/>
    <w:rsid w:val="004C04B5"/>
    <w:rsid w:val="004C0762"/>
    <w:rsid w:val="004C3060"/>
    <w:rsid w:val="004C487A"/>
    <w:rsid w:val="004C4C74"/>
    <w:rsid w:val="004C55F3"/>
    <w:rsid w:val="004C680D"/>
    <w:rsid w:val="004C7C4D"/>
    <w:rsid w:val="004D0E3B"/>
    <w:rsid w:val="004D157A"/>
    <w:rsid w:val="004D1BEE"/>
    <w:rsid w:val="004E3D76"/>
    <w:rsid w:val="004E3EE9"/>
    <w:rsid w:val="004F1B44"/>
    <w:rsid w:val="004F611E"/>
    <w:rsid w:val="00501B0C"/>
    <w:rsid w:val="00501BA0"/>
    <w:rsid w:val="0051475E"/>
    <w:rsid w:val="0051498B"/>
    <w:rsid w:val="005157CF"/>
    <w:rsid w:val="00521BC4"/>
    <w:rsid w:val="00522652"/>
    <w:rsid w:val="00525BFF"/>
    <w:rsid w:val="00526DBD"/>
    <w:rsid w:val="005277CF"/>
    <w:rsid w:val="00536A7D"/>
    <w:rsid w:val="00536B36"/>
    <w:rsid w:val="0054321F"/>
    <w:rsid w:val="00551EF2"/>
    <w:rsid w:val="0055392B"/>
    <w:rsid w:val="00561FF8"/>
    <w:rsid w:val="00563164"/>
    <w:rsid w:val="005632A2"/>
    <w:rsid w:val="005643E9"/>
    <w:rsid w:val="00566431"/>
    <w:rsid w:val="00570473"/>
    <w:rsid w:val="005717C2"/>
    <w:rsid w:val="00574541"/>
    <w:rsid w:val="00574B93"/>
    <w:rsid w:val="005764AC"/>
    <w:rsid w:val="00576D9C"/>
    <w:rsid w:val="00582CBB"/>
    <w:rsid w:val="005862CA"/>
    <w:rsid w:val="005902B0"/>
    <w:rsid w:val="005915C5"/>
    <w:rsid w:val="00591EB7"/>
    <w:rsid w:val="00592040"/>
    <w:rsid w:val="0059204E"/>
    <w:rsid w:val="00592D0E"/>
    <w:rsid w:val="0059310A"/>
    <w:rsid w:val="005966C0"/>
    <w:rsid w:val="00596D37"/>
    <w:rsid w:val="005978DD"/>
    <w:rsid w:val="005A2F1D"/>
    <w:rsid w:val="005A4532"/>
    <w:rsid w:val="005B055D"/>
    <w:rsid w:val="005B0B4A"/>
    <w:rsid w:val="005B19BD"/>
    <w:rsid w:val="005B3306"/>
    <w:rsid w:val="005B3A22"/>
    <w:rsid w:val="005C0F13"/>
    <w:rsid w:val="005C55B1"/>
    <w:rsid w:val="005C6347"/>
    <w:rsid w:val="005D0617"/>
    <w:rsid w:val="005D0F08"/>
    <w:rsid w:val="005D149D"/>
    <w:rsid w:val="005D4516"/>
    <w:rsid w:val="005E43D5"/>
    <w:rsid w:val="005E5A73"/>
    <w:rsid w:val="005E6810"/>
    <w:rsid w:val="005F3B76"/>
    <w:rsid w:val="005F7739"/>
    <w:rsid w:val="00602D3C"/>
    <w:rsid w:val="006047A4"/>
    <w:rsid w:val="0060553C"/>
    <w:rsid w:val="00606772"/>
    <w:rsid w:val="006109DC"/>
    <w:rsid w:val="00610A69"/>
    <w:rsid w:val="00616A18"/>
    <w:rsid w:val="00617454"/>
    <w:rsid w:val="0061778A"/>
    <w:rsid w:val="00617CA0"/>
    <w:rsid w:val="00620B25"/>
    <w:rsid w:val="00621B4B"/>
    <w:rsid w:val="006248D3"/>
    <w:rsid w:val="0062504D"/>
    <w:rsid w:val="0062730C"/>
    <w:rsid w:val="006276AB"/>
    <w:rsid w:val="00627FB5"/>
    <w:rsid w:val="0063185E"/>
    <w:rsid w:val="00634B95"/>
    <w:rsid w:val="0063732B"/>
    <w:rsid w:val="00641DDC"/>
    <w:rsid w:val="0064451A"/>
    <w:rsid w:val="00646AC3"/>
    <w:rsid w:val="0065021A"/>
    <w:rsid w:val="0065026F"/>
    <w:rsid w:val="00651BA0"/>
    <w:rsid w:val="0065248C"/>
    <w:rsid w:val="0065305C"/>
    <w:rsid w:val="0065336B"/>
    <w:rsid w:val="00653D24"/>
    <w:rsid w:val="00654AA2"/>
    <w:rsid w:val="00655F4E"/>
    <w:rsid w:val="00660C34"/>
    <w:rsid w:val="006618BB"/>
    <w:rsid w:val="0066207A"/>
    <w:rsid w:val="006647DC"/>
    <w:rsid w:val="00666CDF"/>
    <w:rsid w:val="00672A3A"/>
    <w:rsid w:val="00672DF5"/>
    <w:rsid w:val="00682033"/>
    <w:rsid w:val="006830CB"/>
    <w:rsid w:val="00683A2A"/>
    <w:rsid w:val="00686D92"/>
    <w:rsid w:val="006873E2"/>
    <w:rsid w:val="006930D8"/>
    <w:rsid w:val="006A1865"/>
    <w:rsid w:val="006A33DE"/>
    <w:rsid w:val="006A3B8C"/>
    <w:rsid w:val="006A4752"/>
    <w:rsid w:val="006A6875"/>
    <w:rsid w:val="006B026C"/>
    <w:rsid w:val="006B4359"/>
    <w:rsid w:val="006B435C"/>
    <w:rsid w:val="006B5CA7"/>
    <w:rsid w:val="006C0DCC"/>
    <w:rsid w:val="006C2D7E"/>
    <w:rsid w:val="006C7C09"/>
    <w:rsid w:val="006D78AF"/>
    <w:rsid w:val="006E2367"/>
    <w:rsid w:val="006E2678"/>
    <w:rsid w:val="006E7995"/>
    <w:rsid w:val="006F3023"/>
    <w:rsid w:val="007001CA"/>
    <w:rsid w:val="00700DDD"/>
    <w:rsid w:val="00704B82"/>
    <w:rsid w:val="007053E7"/>
    <w:rsid w:val="00707C19"/>
    <w:rsid w:val="0071093E"/>
    <w:rsid w:val="007114FB"/>
    <w:rsid w:val="007135AE"/>
    <w:rsid w:val="00713AD4"/>
    <w:rsid w:val="00717DC5"/>
    <w:rsid w:val="00720C50"/>
    <w:rsid w:val="00722947"/>
    <w:rsid w:val="00725B49"/>
    <w:rsid w:val="007301AC"/>
    <w:rsid w:val="0073141C"/>
    <w:rsid w:val="00734984"/>
    <w:rsid w:val="00734FEC"/>
    <w:rsid w:val="007356F1"/>
    <w:rsid w:val="00737471"/>
    <w:rsid w:val="00737CFB"/>
    <w:rsid w:val="00740CB0"/>
    <w:rsid w:val="00742A4F"/>
    <w:rsid w:val="00743661"/>
    <w:rsid w:val="0074536E"/>
    <w:rsid w:val="00746EF2"/>
    <w:rsid w:val="00752C54"/>
    <w:rsid w:val="00753C81"/>
    <w:rsid w:val="007556D7"/>
    <w:rsid w:val="00756C70"/>
    <w:rsid w:val="0076100C"/>
    <w:rsid w:val="0076151E"/>
    <w:rsid w:val="00762195"/>
    <w:rsid w:val="00762438"/>
    <w:rsid w:val="007628FC"/>
    <w:rsid w:val="0076446F"/>
    <w:rsid w:val="00767FF9"/>
    <w:rsid w:val="00770580"/>
    <w:rsid w:val="007712A3"/>
    <w:rsid w:val="007749E4"/>
    <w:rsid w:val="00775109"/>
    <w:rsid w:val="007807A4"/>
    <w:rsid w:val="00782FA4"/>
    <w:rsid w:val="00785DC3"/>
    <w:rsid w:val="007875FE"/>
    <w:rsid w:val="0078765C"/>
    <w:rsid w:val="0078766B"/>
    <w:rsid w:val="00790B18"/>
    <w:rsid w:val="00790D78"/>
    <w:rsid w:val="007959FC"/>
    <w:rsid w:val="007961FA"/>
    <w:rsid w:val="007973D3"/>
    <w:rsid w:val="007A1182"/>
    <w:rsid w:val="007A263A"/>
    <w:rsid w:val="007A3C50"/>
    <w:rsid w:val="007A4CB2"/>
    <w:rsid w:val="007A54DB"/>
    <w:rsid w:val="007B047F"/>
    <w:rsid w:val="007B048B"/>
    <w:rsid w:val="007B3D6E"/>
    <w:rsid w:val="007B57E3"/>
    <w:rsid w:val="007B6340"/>
    <w:rsid w:val="007B717F"/>
    <w:rsid w:val="007C1032"/>
    <w:rsid w:val="007C3B27"/>
    <w:rsid w:val="007C6B14"/>
    <w:rsid w:val="007C722C"/>
    <w:rsid w:val="007C79D3"/>
    <w:rsid w:val="007D2F4C"/>
    <w:rsid w:val="007E0531"/>
    <w:rsid w:val="007E067C"/>
    <w:rsid w:val="007E402C"/>
    <w:rsid w:val="007E52B6"/>
    <w:rsid w:val="007E5796"/>
    <w:rsid w:val="007E625B"/>
    <w:rsid w:val="007F145E"/>
    <w:rsid w:val="007F272E"/>
    <w:rsid w:val="007F798F"/>
    <w:rsid w:val="008000AF"/>
    <w:rsid w:val="00801D2A"/>
    <w:rsid w:val="00804ABD"/>
    <w:rsid w:val="0080658D"/>
    <w:rsid w:val="008077AF"/>
    <w:rsid w:val="00812C71"/>
    <w:rsid w:val="008138A0"/>
    <w:rsid w:val="00815012"/>
    <w:rsid w:val="00815CB7"/>
    <w:rsid w:val="00817911"/>
    <w:rsid w:val="008210F3"/>
    <w:rsid w:val="00822F0B"/>
    <w:rsid w:val="00823B08"/>
    <w:rsid w:val="008254D2"/>
    <w:rsid w:val="00831FBF"/>
    <w:rsid w:val="0084113D"/>
    <w:rsid w:val="00841BB8"/>
    <w:rsid w:val="00845159"/>
    <w:rsid w:val="0084652F"/>
    <w:rsid w:val="00847490"/>
    <w:rsid w:val="00851FAA"/>
    <w:rsid w:val="00854439"/>
    <w:rsid w:val="008603FD"/>
    <w:rsid w:val="00861191"/>
    <w:rsid w:val="00861B29"/>
    <w:rsid w:val="008700E0"/>
    <w:rsid w:val="00871316"/>
    <w:rsid w:val="00872925"/>
    <w:rsid w:val="00872D77"/>
    <w:rsid w:val="00874650"/>
    <w:rsid w:val="008746C4"/>
    <w:rsid w:val="008766CA"/>
    <w:rsid w:val="00880816"/>
    <w:rsid w:val="00882691"/>
    <w:rsid w:val="0088399D"/>
    <w:rsid w:val="00886319"/>
    <w:rsid w:val="0088654C"/>
    <w:rsid w:val="00892236"/>
    <w:rsid w:val="00894F83"/>
    <w:rsid w:val="00895CCE"/>
    <w:rsid w:val="00897282"/>
    <w:rsid w:val="008A0AA4"/>
    <w:rsid w:val="008A3696"/>
    <w:rsid w:val="008A3825"/>
    <w:rsid w:val="008A4FD6"/>
    <w:rsid w:val="008A5733"/>
    <w:rsid w:val="008A597D"/>
    <w:rsid w:val="008A5B30"/>
    <w:rsid w:val="008A6070"/>
    <w:rsid w:val="008A6AFB"/>
    <w:rsid w:val="008B777E"/>
    <w:rsid w:val="008C042C"/>
    <w:rsid w:val="008C0800"/>
    <w:rsid w:val="008D1AA4"/>
    <w:rsid w:val="008D33CA"/>
    <w:rsid w:val="008D4A50"/>
    <w:rsid w:val="008D4E08"/>
    <w:rsid w:val="008D5586"/>
    <w:rsid w:val="008E45C6"/>
    <w:rsid w:val="008E5253"/>
    <w:rsid w:val="008E698B"/>
    <w:rsid w:val="008E78FC"/>
    <w:rsid w:val="008F213A"/>
    <w:rsid w:val="008F3CB8"/>
    <w:rsid w:val="008F56B1"/>
    <w:rsid w:val="008F7CEC"/>
    <w:rsid w:val="00900381"/>
    <w:rsid w:val="009018D0"/>
    <w:rsid w:val="00902E9B"/>
    <w:rsid w:val="0090541B"/>
    <w:rsid w:val="00905D03"/>
    <w:rsid w:val="00910F0A"/>
    <w:rsid w:val="00911C67"/>
    <w:rsid w:val="00912786"/>
    <w:rsid w:val="00912C14"/>
    <w:rsid w:val="00914377"/>
    <w:rsid w:val="009144F7"/>
    <w:rsid w:val="00915742"/>
    <w:rsid w:val="0091719B"/>
    <w:rsid w:val="00925A26"/>
    <w:rsid w:val="0092664F"/>
    <w:rsid w:val="00927112"/>
    <w:rsid w:val="009310F6"/>
    <w:rsid w:val="0093505A"/>
    <w:rsid w:val="009364ED"/>
    <w:rsid w:val="009404FB"/>
    <w:rsid w:val="00943E02"/>
    <w:rsid w:val="00943E31"/>
    <w:rsid w:val="00944A93"/>
    <w:rsid w:val="00945EE5"/>
    <w:rsid w:val="0094679D"/>
    <w:rsid w:val="00950346"/>
    <w:rsid w:val="00951B0F"/>
    <w:rsid w:val="00952B06"/>
    <w:rsid w:val="00952BF4"/>
    <w:rsid w:val="0095524B"/>
    <w:rsid w:val="00955D25"/>
    <w:rsid w:val="0095681F"/>
    <w:rsid w:val="00960818"/>
    <w:rsid w:val="00960CE3"/>
    <w:rsid w:val="0096356D"/>
    <w:rsid w:val="00964464"/>
    <w:rsid w:val="009662B3"/>
    <w:rsid w:val="00973196"/>
    <w:rsid w:val="00973D08"/>
    <w:rsid w:val="00975464"/>
    <w:rsid w:val="009767D6"/>
    <w:rsid w:val="00976A80"/>
    <w:rsid w:val="00976C57"/>
    <w:rsid w:val="00976DBE"/>
    <w:rsid w:val="00984581"/>
    <w:rsid w:val="00985C23"/>
    <w:rsid w:val="009875C3"/>
    <w:rsid w:val="009900B0"/>
    <w:rsid w:val="00991216"/>
    <w:rsid w:val="0099230D"/>
    <w:rsid w:val="00996C32"/>
    <w:rsid w:val="009A7231"/>
    <w:rsid w:val="009B1BA8"/>
    <w:rsid w:val="009B6746"/>
    <w:rsid w:val="009B6FC8"/>
    <w:rsid w:val="009C0857"/>
    <w:rsid w:val="009C0C34"/>
    <w:rsid w:val="009C5576"/>
    <w:rsid w:val="009C5E77"/>
    <w:rsid w:val="009C6365"/>
    <w:rsid w:val="009C6928"/>
    <w:rsid w:val="009D0535"/>
    <w:rsid w:val="009D0A9E"/>
    <w:rsid w:val="009D0D10"/>
    <w:rsid w:val="009D0F87"/>
    <w:rsid w:val="009D2FA8"/>
    <w:rsid w:val="009D3D62"/>
    <w:rsid w:val="009E00B3"/>
    <w:rsid w:val="009E0EBF"/>
    <w:rsid w:val="009E3FAC"/>
    <w:rsid w:val="009E7799"/>
    <w:rsid w:val="009F149F"/>
    <w:rsid w:val="009F14B6"/>
    <w:rsid w:val="009F1B0E"/>
    <w:rsid w:val="009F568D"/>
    <w:rsid w:val="009F69FD"/>
    <w:rsid w:val="00A037E3"/>
    <w:rsid w:val="00A03AE8"/>
    <w:rsid w:val="00A06194"/>
    <w:rsid w:val="00A0649A"/>
    <w:rsid w:val="00A071EA"/>
    <w:rsid w:val="00A07520"/>
    <w:rsid w:val="00A12095"/>
    <w:rsid w:val="00A127AB"/>
    <w:rsid w:val="00A15AA1"/>
    <w:rsid w:val="00A17C36"/>
    <w:rsid w:val="00A20125"/>
    <w:rsid w:val="00A206C6"/>
    <w:rsid w:val="00A216B5"/>
    <w:rsid w:val="00A21B28"/>
    <w:rsid w:val="00A240E6"/>
    <w:rsid w:val="00A2487D"/>
    <w:rsid w:val="00A25BC3"/>
    <w:rsid w:val="00A310F0"/>
    <w:rsid w:val="00A32BAF"/>
    <w:rsid w:val="00A50256"/>
    <w:rsid w:val="00A50539"/>
    <w:rsid w:val="00A514FA"/>
    <w:rsid w:val="00A56013"/>
    <w:rsid w:val="00A576C9"/>
    <w:rsid w:val="00A615F1"/>
    <w:rsid w:val="00A635DC"/>
    <w:rsid w:val="00A63E64"/>
    <w:rsid w:val="00A6447C"/>
    <w:rsid w:val="00A65BD4"/>
    <w:rsid w:val="00A665B1"/>
    <w:rsid w:val="00A731EB"/>
    <w:rsid w:val="00A7704E"/>
    <w:rsid w:val="00A803F0"/>
    <w:rsid w:val="00A82AAA"/>
    <w:rsid w:val="00A82F7D"/>
    <w:rsid w:val="00A867A2"/>
    <w:rsid w:val="00A87E90"/>
    <w:rsid w:val="00A92BE2"/>
    <w:rsid w:val="00A9793B"/>
    <w:rsid w:val="00A97C4C"/>
    <w:rsid w:val="00AA1876"/>
    <w:rsid w:val="00AA3DB7"/>
    <w:rsid w:val="00AA5E54"/>
    <w:rsid w:val="00AB16C9"/>
    <w:rsid w:val="00AC0CD4"/>
    <w:rsid w:val="00AC13BA"/>
    <w:rsid w:val="00AC6A46"/>
    <w:rsid w:val="00AC6AFB"/>
    <w:rsid w:val="00AC6B38"/>
    <w:rsid w:val="00AD1325"/>
    <w:rsid w:val="00AD6649"/>
    <w:rsid w:val="00AD6925"/>
    <w:rsid w:val="00AE18E6"/>
    <w:rsid w:val="00AE732B"/>
    <w:rsid w:val="00AF2030"/>
    <w:rsid w:val="00AF203E"/>
    <w:rsid w:val="00AF299A"/>
    <w:rsid w:val="00AF502D"/>
    <w:rsid w:val="00AF54EB"/>
    <w:rsid w:val="00AF5764"/>
    <w:rsid w:val="00AF6908"/>
    <w:rsid w:val="00AF6AA4"/>
    <w:rsid w:val="00AF7DE1"/>
    <w:rsid w:val="00B003F4"/>
    <w:rsid w:val="00B033D3"/>
    <w:rsid w:val="00B05954"/>
    <w:rsid w:val="00B10C66"/>
    <w:rsid w:val="00B13E2F"/>
    <w:rsid w:val="00B15CD9"/>
    <w:rsid w:val="00B1789E"/>
    <w:rsid w:val="00B22874"/>
    <w:rsid w:val="00B23861"/>
    <w:rsid w:val="00B25263"/>
    <w:rsid w:val="00B301AE"/>
    <w:rsid w:val="00B304DA"/>
    <w:rsid w:val="00B32D62"/>
    <w:rsid w:val="00B32DA9"/>
    <w:rsid w:val="00B35547"/>
    <w:rsid w:val="00B36DAA"/>
    <w:rsid w:val="00B501D1"/>
    <w:rsid w:val="00B51908"/>
    <w:rsid w:val="00B537E0"/>
    <w:rsid w:val="00B54547"/>
    <w:rsid w:val="00B54EEE"/>
    <w:rsid w:val="00B552A1"/>
    <w:rsid w:val="00B603A7"/>
    <w:rsid w:val="00B60E17"/>
    <w:rsid w:val="00B62451"/>
    <w:rsid w:val="00B62F6A"/>
    <w:rsid w:val="00B650E9"/>
    <w:rsid w:val="00B66C77"/>
    <w:rsid w:val="00B66EF6"/>
    <w:rsid w:val="00B75107"/>
    <w:rsid w:val="00B81C43"/>
    <w:rsid w:val="00B8212F"/>
    <w:rsid w:val="00B85C2D"/>
    <w:rsid w:val="00B86B79"/>
    <w:rsid w:val="00B91329"/>
    <w:rsid w:val="00B94F24"/>
    <w:rsid w:val="00B95FDB"/>
    <w:rsid w:val="00B97054"/>
    <w:rsid w:val="00BA1FD9"/>
    <w:rsid w:val="00BA2D14"/>
    <w:rsid w:val="00BA35B3"/>
    <w:rsid w:val="00BA3A7F"/>
    <w:rsid w:val="00BA3B16"/>
    <w:rsid w:val="00BA4DDA"/>
    <w:rsid w:val="00BA57DA"/>
    <w:rsid w:val="00BA5EB4"/>
    <w:rsid w:val="00BA6136"/>
    <w:rsid w:val="00BB0DA9"/>
    <w:rsid w:val="00BB2585"/>
    <w:rsid w:val="00BB31E9"/>
    <w:rsid w:val="00BB579F"/>
    <w:rsid w:val="00BB743A"/>
    <w:rsid w:val="00BC0935"/>
    <w:rsid w:val="00BC164D"/>
    <w:rsid w:val="00BC52E5"/>
    <w:rsid w:val="00BC6996"/>
    <w:rsid w:val="00BD0E30"/>
    <w:rsid w:val="00BD441B"/>
    <w:rsid w:val="00BE1267"/>
    <w:rsid w:val="00BE20A3"/>
    <w:rsid w:val="00BE3817"/>
    <w:rsid w:val="00BE4F7C"/>
    <w:rsid w:val="00BE5B94"/>
    <w:rsid w:val="00BF1329"/>
    <w:rsid w:val="00BF1376"/>
    <w:rsid w:val="00C01DEF"/>
    <w:rsid w:val="00C02892"/>
    <w:rsid w:val="00C02A5D"/>
    <w:rsid w:val="00C0774A"/>
    <w:rsid w:val="00C107AE"/>
    <w:rsid w:val="00C11326"/>
    <w:rsid w:val="00C13C42"/>
    <w:rsid w:val="00C15603"/>
    <w:rsid w:val="00C21336"/>
    <w:rsid w:val="00C23BF9"/>
    <w:rsid w:val="00C24F41"/>
    <w:rsid w:val="00C25B32"/>
    <w:rsid w:val="00C27737"/>
    <w:rsid w:val="00C30ABF"/>
    <w:rsid w:val="00C31A41"/>
    <w:rsid w:val="00C32862"/>
    <w:rsid w:val="00C3585C"/>
    <w:rsid w:val="00C3587A"/>
    <w:rsid w:val="00C36EB7"/>
    <w:rsid w:val="00C40D09"/>
    <w:rsid w:val="00C41FDF"/>
    <w:rsid w:val="00C45E12"/>
    <w:rsid w:val="00C47884"/>
    <w:rsid w:val="00C51DAC"/>
    <w:rsid w:val="00C53818"/>
    <w:rsid w:val="00C624FB"/>
    <w:rsid w:val="00C63B7B"/>
    <w:rsid w:val="00C6418E"/>
    <w:rsid w:val="00C659EB"/>
    <w:rsid w:val="00C668D2"/>
    <w:rsid w:val="00C7097F"/>
    <w:rsid w:val="00C70B3B"/>
    <w:rsid w:val="00C75F79"/>
    <w:rsid w:val="00C761FE"/>
    <w:rsid w:val="00C77F38"/>
    <w:rsid w:val="00C92CDC"/>
    <w:rsid w:val="00C94596"/>
    <w:rsid w:val="00C9603F"/>
    <w:rsid w:val="00CA0C4C"/>
    <w:rsid w:val="00CA1523"/>
    <w:rsid w:val="00CB0465"/>
    <w:rsid w:val="00CB11A8"/>
    <w:rsid w:val="00CB15C6"/>
    <w:rsid w:val="00CB25ED"/>
    <w:rsid w:val="00CB46B9"/>
    <w:rsid w:val="00CB4CA8"/>
    <w:rsid w:val="00CB4F00"/>
    <w:rsid w:val="00CB5B9D"/>
    <w:rsid w:val="00CB5D5D"/>
    <w:rsid w:val="00CB5EE3"/>
    <w:rsid w:val="00CB6C47"/>
    <w:rsid w:val="00CD0916"/>
    <w:rsid w:val="00CD19CB"/>
    <w:rsid w:val="00CD357F"/>
    <w:rsid w:val="00CD506F"/>
    <w:rsid w:val="00CE00C0"/>
    <w:rsid w:val="00CE1F5B"/>
    <w:rsid w:val="00CE5387"/>
    <w:rsid w:val="00CE5E90"/>
    <w:rsid w:val="00CF08D3"/>
    <w:rsid w:val="00CF38AA"/>
    <w:rsid w:val="00CF3DC6"/>
    <w:rsid w:val="00CF63E9"/>
    <w:rsid w:val="00D001E2"/>
    <w:rsid w:val="00D00695"/>
    <w:rsid w:val="00D06A67"/>
    <w:rsid w:val="00D07B11"/>
    <w:rsid w:val="00D170F2"/>
    <w:rsid w:val="00D24DAC"/>
    <w:rsid w:val="00D25119"/>
    <w:rsid w:val="00D26296"/>
    <w:rsid w:val="00D26378"/>
    <w:rsid w:val="00D31087"/>
    <w:rsid w:val="00D3158E"/>
    <w:rsid w:val="00D33511"/>
    <w:rsid w:val="00D33B36"/>
    <w:rsid w:val="00D35FBA"/>
    <w:rsid w:val="00D40C1F"/>
    <w:rsid w:val="00D41F97"/>
    <w:rsid w:val="00D43BF2"/>
    <w:rsid w:val="00D443DB"/>
    <w:rsid w:val="00D4796A"/>
    <w:rsid w:val="00D5013C"/>
    <w:rsid w:val="00D52E47"/>
    <w:rsid w:val="00D532DE"/>
    <w:rsid w:val="00D56B35"/>
    <w:rsid w:val="00D5759C"/>
    <w:rsid w:val="00D60AC3"/>
    <w:rsid w:val="00D61908"/>
    <w:rsid w:val="00D648A4"/>
    <w:rsid w:val="00D75BD8"/>
    <w:rsid w:val="00D819B0"/>
    <w:rsid w:val="00D81A6E"/>
    <w:rsid w:val="00D83E5D"/>
    <w:rsid w:val="00D867DC"/>
    <w:rsid w:val="00D90EBC"/>
    <w:rsid w:val="00D92669"/>
    <w:rsid w:val="00D94707"/>
    <w:rsid w:val="00D95019"/>
    <w:rsid w:val="00DA01C1"/>
    <w:rsid w:val="00DA1680"/>
    <w:rsid w:val="00DA1D8D"/>
    <w:rsid w:val="00DA1DF1"/>
    <w:rsid w:val="00DA411A"/>
    <w:rsid w:val="00DA5554"/>
    <w:rsid w:val="00DA7EB1"/>
    <w:rsid w:val="00DB0D1F"/>
    <w:rsid w:val="00DB1A8D"/>
    <w:rsid w:val="00DB3630"/>
    <w:rsid w:val="00DB42A8"/>
    <w:rsid w:val="00DB6389"/>
    <w:rsid w:val="00DB7FFB"/>
    <w:rsid w:val="00DC00F8"/>
    <w:rsid w:val="00DC041E"/>
    <w:rsid w:val="00DC4B73"/>
    <w:rsid w:val="00DC5EAD"/>
    <w:rsid w:val="00DC69F8"/>
    <w:rsid w:val="00DC6A17"/>
    <w:rsid w:val="00DC6C79"/>
    <w:rsid w:val="00DD20B7"/>
    <w:rsid w:val="00DD2BD4"/>
    <w:rsid w:val="00DD3AC2"/>
    <w:rsid w:val="00DE11AD"/>
    <w:rsid w:val="00DE18A3"/>
    <w:rsid w:val="00DE1A15"/>
    <w:rsid w:val="00DE2817"/>
    <w:rsid w:val="00DE5884"/>
    <w:rsid w:val="00DF0364"/>
    <w:rsid w:val="00DF2B52"/>
    <w:rsid w:val="00DF51EC"/>
    <w:rsid w:val="00DF639E"/>
    <w:rsid w:val="00DF6D0E"/>
    <w:rsid w:val="00E00D8A"/>
    <w:rsid w:val="00E0757D"/>
    <w:rsid w:val="00E135F3"/>
    <w:rsid w:val="00E14B34"/>
    <w:rsid w:val="00E15C54"/>
    <w:rsid w:val="00E212B5"/>
    <w:rsid w:val="00E225B1"/>
    <w:rsid w:val="00E23B97"/>
    <w:rsid w:val="00E26620"/>
    <w:rsid w:val="00E30719"/>
    <w:rsid w:val="00E30E4D"/>
    <w:rsid w:val="00E325CE"/>
    <w:rsid w:val="00E32881"/>
    <w:rsid w:val="00E35227"/>
    <w:rsid w:val="00E36220"/>
    <w:rsid w:val="00E43E11"/>
    <w:rsid w:val="00E45139"/>
    <w:rsid w:val="00E514A6"/>
    <w:rsid w:val="00E515F0"/>
    <w:rsid w:val="00E526AC"/>
    <w:rsid w:val="00E52882"/>
    <w:rsid w:val="00E53CED"/>
    <w:rsid w:val="00E5434A"/>
    <w:rsid w:val="00E5561A"/>
    <w:rsid w:val="00E6049D"/>
    <w:rsid w:val="00E60DAC"/>
    <w:rsid w:val="00E6214D"/>
    <w:rsid w:val="00E626DC"/>
    <w:rsid w:val="00E70F98"/>
    <w:rsid w:val="00E71175"/>
    <w:rsid w:val="00E7226A"/>
    <w:rsid w:val="00E724AB"/>
    <w:rsid w:val="00E7285D"/>
    <w:rsid w:val="00E767F8"/>
    <w:rsid w:val="00E822EC"/>
    <w:rsid w:val="00E824B4"/>
    <w:rsid w:val="00E85CFC"/>
    <w:rsid w:val="00E90E48"/>
    <w:rsid w:val="00E94F56"/>
    <w:rsid w:val="00E96DCB"/>
    <w:rsid w:val="00EA1B4E"/>
    <w:rsid w:val="00EA1C97"/>
    <w:rsid w:val="00EA55F1"/>
    <w:rsid w:val="00EB015E"/>
    <w:rsid w:val="00EB2CC5"/>
    <w:rsid w:val="00EB65D5"/>
    <w:rsid w:val="00EB6913"/>
    <w:rsid w:val="00EC427F"/>
    <w:rsid w:val="00EC78FD"/>
    <w:rsid w:val="00EC7EA6"/>
    <w:rsid w:val="00ED030F"/>
    <w:rsid w:val="00ED1CD9"/>
    <w:rsid w:val="00ED1FD0"/>
    <w:rsid w:val="00ED6D15"/>
    <w:rsid w:val="00ED6D35"/>
    <w:rsid w:val="00EE274B"/>
    <w:rsid w:val="00EE487C"/>
    <w:rsid w:val="00EE6BB9"/>
    <w:rsid w:val="00EE7CFE"/>
    <w:rsid w:val="00EE7F1C"/>
    <w:rsid w:val="00EF106C"/>
    <w:rsid w:val="00EF6341"/>
    <w:rsid w:val="00EF6451"/>
    <w:rsid w:val="00EF6F84"/>
    <w:rsid w:val="00EF71B1"/>
    <w:rsid w:val="00F00917"/>
    <w:rsid w:val="00F02231"/>
    <w:rsid w:val="00F05B34"/>
    <w:rsid w:val="00F116DF"/>
    <w:rsid w:val="00F153F2"/>
    <w:rsid w:val="00F15591"/>
    <w:rsid w:val="00F16A8A"/>
    <w:rsid w:val="00F17A05"/>
    <w:rsid w:val="00F2006F"/>
    <w:rsid w:val="00F200CD"/>
    <w:rsid w:val="00F26197"/>
    <w:rsid w:val="00F276A5"/>
    <w:rsid w:val="00F3002B"/>
    <w:rsid w:val="00F31A16"/>
    <w:rsid w:val="00F31BD2"/>
    <w:rsid w:val="00F31D4D"/>
    <w:rsid w:val="00F32EED"/>
    <w:rsid w:val="00F33920"/>
    <w:rsid w:val="00F378AB"/>
    <w:rsid w:val="00F45B2B"/>
    <w:rsid w:val="00F50E4C"/>
    <w:rsid w:val="00F54D2C"/>
    <w:rsid w:val="00F604D6"/>
    <w:rsid w:val="00F64011"/>
    <w:rsid w:val="00F70519"/>
    <w:rsid w:val="00F75941"/>
    <w:rsid w:val="00F768B4"/>
    <w:rsid w:val="00F77C71"/>
    <w:rsid w:val="00F813A8"/>
    <w:rsid w:val="00F83C22"/>
    <w:rsid w:val="00F8571C"/>
    <w:rsid w:val="00F90209"/>
    <w:rsid w:val="00F90B09"/>
    <w:rsid w:val="00F91060"/>
    <w:rsid w:val="00F92B68"/>
    <w:rsid w:val="00F93631"/>
    <w:rsid w:val="00F94034"/>
    <w:rsid w:val="00F94A3C"/>
    <w:rsid w:val="00F9708C"/>
    <w:rsid w:val="00FA1410"/>
    <w:rsid w:val="00FA2B8D"/>
    <w:rsid w:val="00FA2E21"/>
    <w:rsid w:val="00FA430F"/>
    <w:rsid w:val="00FA4892"/>
    <w:rsid w:val="00FA5F56"/>
    <w:rsid w:val="00FA6BE9"/>
    <w:rsid w:val="00FA7E16"/>
    <w:rsid w:val="00FB2611"/>
    <w:rsid w:val="00FB27AE"/>
    <w:rsid w:val="00FC01DA"/>
    <w:rsid w:val="00FC1DB5"/>
    <w:rsid w:val="00FC5E81"/>
    <w:rsid w:val="00FC6B6A"/>
    <w:rsid w:val="00FD20AD"/>
    <w:rsid w:val="00FD5E0C"/>
    <w:rsid w:val="00FD6366"/>
    <w:rsid w:val="00FD6404"/>
    <w:rsid w:val="00FD6EE9"/>
    <w:rsid w:val="00FE0D2B"/>
    <w:rsid w:val="00FE1B25"/>
    <w:rsid w:val="00FE43D0"/>
    <w:rsid w:val="00FE6CD8"/>
    <w:rsid w:val="00FF2D0A"/>
    <w:rsid w:val="00FF3468"/>
    <w:rsid w:val="00FF3D33"/>
    <w:rsid w:val="00FF5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B95"/>
  </w:style>
  <w:style w:type="paragraph" w:styleId="1">
    <w:name w:val="heading 1"/>
    <w:basedOn w:val="a"/>
    <w:next w:val="a"/>
    <w:qFormat/>
    <w:rsid w:val="00634B95"/>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4B95"/>
    <w:pPr>
      <w:ind w:firstLine="720"/>
    </w:pPr>
  </w:style>
  <w:style w:type="paragraph" w:styleId="2">
    <w:name w:val="Body Text Indent 2"/>
    <w:basedOn w:val="a"/>
    <w:link w:val="20"/>
    <w:rsid w:val="00634B95"/>
    <w:pPr>
      <w:ind w:firstLine="720"/>
      <w:jc w:val="both"/>
    </w:pPr>
  </w:style>
  <w:style w:type="paragraph" w:styleId="3">
    <w:name w:val="Body Text Indent 3"/>
    <w:basedOn w:val="a"/>
    <w:rsid w:val="00634B95"/>
    <w:pPr>
      <w:ind w:left="709" w:firstLine="11"/>
      <w:jc w:val="both"/>
    </w:pPr>
  </w:style>
  <w:style w:type="paragraph" w:styleId="a5">
    <w:name w:val="Balloon Text"/>
    <w:basedOn w:val="a"/>
    <w:semiHidden/>
    <w:rsid w:val="003166C9"/>
    <w:rPr>
      <w:rFonts w:ascii="Tahoma" w:hAnsi="Tahoma" w:cs="Tahoma"/>
      <w:sz w:val="16"/>
      <w:szCs w:val="16"/>
    </w:rPr>
  </w:style>
  <w:style w:type="table" w:styleId="a6">
    <w:name w:val="Table Grid"/>
    <w:basedOn w:val="a1"/>
    <w:rsid w:val="000133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F16A8A"/>
    <w:rPr>
      <w:rFonts w:ascii="Times New Roman" w:hAnsi="Times New Roman" w:cs="Times New Roman"/>
      <w:sz w:val="22"/>
      <w:szCs w:val="22"/>
    </w:rPr>
  </w:style>
  <w:style w:type="character" w:customStyle="1" w:styleId="a4">
    <w:name w:val="Основной текст с отступом Знак"/>
    <w:link w:val="a3"/>
    <w:rsid w:val="003A1B41"/>
  </w:style>
  <w:style w:type="paragraph" w:customStyle="1" w:styleId="a7">
    <w:name w:val="Осн. текст УАГ"/>
    <w:basedOn w:val="a"/>
    <w:rsid w:val="00F768B4"/>
    <w:pPr>
      <w:ind w:firstLine="851"/>
      <w:jc w:val="both"/>
    </w:pPr>
    <w:rPr>
      <w:sz w:val="24"/>
      <w:szCs w:val="24"/>
    </w:rPr>
  </w:style>
  <w:style w:type="paragraph" w:customStyle="1" w:styleId="ConsPlusNormal">
    <w:name w:val="ConsPlusNormal"/>
    <w:qFormat/>
    <w:rsid w:val="00F768B4"/>
    <w:pPr>
      <w:widowControl w:val="0"/>
      <w:autoSpaceDE w:val="0"/>
      <w:autoSpaceDN w:val="0"/>
    </w:pPr>
    <w:rPr>
      <w:rFonts w:ascii="Calibri" w:hAnsi="Calibri" w:cs="Calibri"/>
      <w:sz w:val="22"/>
    </w:rPr>
  </w:style>
  <w:style w:type="character" w:customStyle="1" w:styleId="form-header">
    <w:name w:val="form-header"/>
    <w:rsid w:val="00F768B4"/>
    <w:rPr>
      <w:b/>
      <w:bCs/>
      <w:sz w:val="20"/>
      <w:szCs w:val="20"/>
    </w:rPr>
  </w:style>
  <w:style w:type="paragraph" w:customStyle="1" w:styleId="a8">
    <w:name w:val="Содержимое таблицы"/>
    <w:basedOn w:val="a"/>
    <w:rsid w:val="00F768B4"/>
    <w:pPr>
      <w:suppressLineNumbers/>
      <w:suppressAutoHyphens/>
      <w:snapToGrid w:val="0"/>
    </w:pPr>
    <w:rPr>
      <w:rFonts w:eastAsia="SimSun" w:cs="Lucida Sans"/>
      <w:kern w:val="1"/>
      <w:sz w:val="22"/>
      <w:szCs w:val="24"/>
      <w:lang w:eastAsia="zh-CN" w:bidi="hi-IN"/>
    </w:rPr>
  </w:style>
  <w:style w:type="table" w:customStyle="1" w:styleId="TableNormal">
    <w:name w:val="Table Normal"/>
    <w:rsid w:val="00F768B4"/>
    <w:pPr>
      <w:widowControl w:val="0"/>
    </w:pPr>
    <w:rPr>
      <w:color w:val="000000"/>
      <w:sz w:val="24"/>
      <w:szCs w:val="24"/>
    </w:rPr>
    <w:tblPr>
      <w:tblCellMar>
        <w:top w:w="0" w:type="dxa"/>
        <w:left w:w="0" w:type="dxa"/>
        <w:bottom w:w="0" w:type="dxa"/>
        <w:right w:w="0" w:type="dxa"/>
      </w:tblCellMar>
    </w:tblPr>
  </w:style>
  <w:style w:type="paragraph" w:styleId="a9">
    <w:name w:val="header"/>
    <w:basedOn w:val="a"/>
    <w:link w:val="aa"/>
    <w:uiPriority w:val="99"/>
    <w:rsid w:val="008766CA"/>
    <w:pPr>
      <w:tabs>
        <w:tab w:val="center" w:pos="4677"/>
        <w:tab w:val="right" w:pos="9355"/>
      </w:tabs>
    </w:pPr>
  </w:style>
  <w:style w:type="character" w:customStyle="1" w:styleId="aa">
    <w:name w:val="Верхний колонтитул Знак"/>
    <w:basedOn w:val="a0"/>
    <w:link w:val="a9"/>
    <w:uiPriority w:val="99"/>
    <w:rsid w:val="008766CA"/>
  </w:style>
  <w:style w:type="paragraph" w:styleId="ab">
    <w:name w:val="footer"/>
    <w:basedOn w:val="a"/>
    <w:link w:val="ac"/>
    <w:rsid w:val="008766CA"/>
    <w:pPr>
      <w:tabs>
        <w:tab w:val="center" w:pos="4677"/>
        <w:tab w:val="right" w:pos="9355"/>
      </w:tabs>
    </w:pPr>
  </w:style>
  <w:style w:type="character" w:customStyle="1" w:styleId="ac">
    <w:name w:val="Нижний колонтитул Знак"/>
    <w:basedOn w:val="a0"/>
    <w:link w:val="ab"/>
    <w:rsid w:val="008766CA"/>
  </w:style>
  <w:style w:type="character" w:styleId="ad">
    <w:name w:val="Hyperlink"/>
    <w:uiPriority w:val="99"/>
    <w:rsid w:val="00AF502D"/>
    <w:rPr>
      <w:rFonts w:cs="Times New Roman"/>
      <w:color w:val="0000FF"/>
      <w:u w:val="single"/>
    </w:rPr>
  </w:style>
  <w:style w:type="paragraph" w:customStyle="1" w:styleId="ConsPlusNonformat">
    <w:name w:val="ConsPlusNonformat"/>
    <w:rsid w:val="001550EA"/>
    <w:pPr>
      <w:widowControl w:val="0"/>
      <w:autoSpaceDE w:val="0"/>
      <w:autoSpaceDN w:val="0"/>
    </w:pPr>
    <w:rPr>
      <w:rFonts w:ascii="Courier New" w:hAnsi="Courier New" w:cs="Courier New"/>
    </w:rPr>
  </w:style>
  <w:style w:type="paragraph" w:customStyle="1" w:styleId="u">
    <w:name w:val="u"/>
    <w:basedOn w:val="a"/>
    <w:rsid w:val="000D3205"/>
    <w:pPr>
      <w:suppressAutoHyphens/>
      <w:ind w:firstLine="174"/>
      <w:jc w:val="both"/>
    </w:pPr>
    <w:rPr>
      <w:rFonts w:eastAsia="Calibri" w:cs="Calibri"/>
      <w:color w:val="000000"/>
      <w:sz w:val="24"/>
      <w:szCs w:val="24"/>
      <w:lang w:eastAsia="ar-SA"/>
    </w:rPr>
  </w:style>
  <w:style w:type="character" w:customStyle="1" w:styleId="20">
    <w:name w:val="Основной текст с отступом 2 Знак"/>
    <w:basedOn w:val="a0"/>
    <w:link w:val="2"/>
    <w:rsid w:val="0060553C"/>
  </w:style>
  <w:style w:type="paragraph" w:styleId="ae">
    <w:name w:val="Normal (Web)"/>
    <w:basedOn w:val="a"/>
    <w:unhideWhenUsed/>
    <w:rsid w:val="00044618"/>
    <w:pPr>
      <w:spacing w:before="100" w:beforeAutospacing="1" w:after="100" w:afterAutospacing="1"/>
    </w:pPr>
    <w:rPr>
      <w:sz w:val="24"/>
      <w:szCs w:val="24"/>
    </w:rPr>
  </w:style>
  <w:style w:type="character" w:styleId="af">
    <w:name w:val="FollowedHyperlink"/>
    <w:rsid w:val="00606772"/>
    <w:rPr>
      <w:color w:val="800080"/>
      <w:u w:val="single"/>
    </w:rPr>
  </w:style>
  <w:style w:type="paragraph" w:styleId="af0">
    <w:name w:val="No Spacing"/>
    <w:uiPriority w:val="1"/>
    <w:qFormat/>
    <w:rsid w:val="00EC427F"/>
  </w:style>
  <w:style w:type="paragraph" w:styleId="30">
    <w:name w:val="Body Text 3"/>
    <w:basedOn w:val="a"/>
    <w:link w:val="31"/>
    <w:rsid w:val="00377B2D"/>
    <w:pPr>
      <w:spacing w:after="120"/>
    </w:pPr>
    <w:rPr>
      <w:sz w:val="16"/>
      <w:szCs w:val="16"/>
    </w:rPr>
  </w:style>
  <w:style w:type="character" w:customStyle="1" w:styleId="31">
    <w:name w:val="Основной текст 3 Знак"/>
    <w:link w:val="30"/>
    <w:rsid w:val="00377B2D"/>
    <w:rPr>
      <w:sz w:val="16"/>
      <w:szCs w:val="16"/>
    </w:rPr>
  </w:style>
  <w:style w:type="paragraph" w:styleId="af1">
    <w:name w:val="List Paragraph"/>
    <w:basedOn w:val="a"/>
    <w:uiPriority w:val="34"/>
    <w:qFormat/>
    <w:rsid w:val="00737CFB"/>
    <w:pPr>
      <w:ind w:left="720"/>
      <w:contextualSpacing/>
    </w:pPr>
  </w:style>
  <w:style w:type="character" w:customStyle="1" w:styleId="10">
    <w:name w:val="Неразрешенное упоминание1"/>
    <w:basedOn w:val="a0"/>
    <w:uiPriority w:val="99"/>
    <w:semiHidden/>
    <w:unhideWhenUsed/>
    <w:rsid w:val="000B677E"/>
    <w:rPr>
      <w:color w:val="605E5C"/>
      <w:shd w:val="clear" w:color="auto" w:fill="E1DFDD"/>
    </w:rPr>
  </w:style>
  <w:style w:type="character" w:customStyle="1" w:styleId="21">
    <w:name w:val="Основной текст (2)_"/>
    <w:link w:val="22"/>
    <w:rsid w:val="00C63B7B"/>
    <w:rPr>
      <w:shd w:val="clear" w:color="auto" w:fill="FFFFFF"/>
    </w:rPr>
  </w:style>
  <w:style w:type="paragraph" w:customStyle="1" w:styleId="22">
    <w:name w:val="Основной текст (2)"/>
    <w:basedOn w:val="a"/>
    <w:link w:val="21"/>
    <w:rsid w:val="00C63B7B"/>
    <w:pPr>
      <w:widowControl w:val="0"/>
      <w:shd w:val="clear" w:color="auto" w:fill="FFFFFF"/>
      <w:spacing w:after="2040" w:line="274" w:lineRule="exact"/>
      <w:ind w:hanging="100"/>
    </w:pPr>
  </w:style>
  <w:style w:type="character" w:customStyle="1" w:styleId="23">
    <w:name w:val="Неразрешенное упоминание2"/>
    <w:basedOn w:val="a0"/>
    <w:uiPriority w:val="99"/>
    <w:semiHidden/>
    <w:unhideWhenUsed/>
    <w:rsid w:val="00A32BA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2986300">
      <w:bodyDiv w:val="1"/>
      <w:marLeft w:val="0"/>
      <w:marRight w:val="0"/>
      <w:marTop w:val="0"/>
      <w:marBottom w:val="0"/>
      <w:divBdr>
        <w:top w:val="none" w:sz="0" w:space="0" w:color="auto"/>
        <w:left w:val="none" w:sz="0" w:space="0" w:color="auto"/>
        <w:bottom w:val="none" w:sz="0" w:space="0" w:color="auto"/>
        <w:right w:val="none" w:sz="0" w:space="0" w:color="auto"/>
      </w:divBdr>
    </w:div>
    <w:div w:id="470832215">
      <w:bodyDiv w:val="1"/>
      <w:marLeft w:val="0"/>
      <w:marRight w:val="0"/>
      <w:marTop w:val="0"/>
      <w:marBottom w:val="0"/>
      <w:divBdr>
        <w:top w:val="none" w:sz="0" w:space="0" w:color="auto"/>
        <w:left w:val="none" w:sz="0" w:space="0" w:color="auto"/>
        <w:bottom w:val="none" w:sz="0" w:space="0" w:color="auto"/>
        <w:right w:val="none" w:sz="0" w:space="0" w:color="auto"/>
      </w:divBdr>
    </w:div>
    <w:div w:id="500588229">
      <w:bodyDiv w:val="1"/>
      <w:marLeft w:val="0"/>
      <w:marRight w:val="0"/>
      <w:marTop w:val="0"/>
      <w:marBottom w:val="0"/>
      <w:divBdr>
        <w:top w:val="none" w:sz="0" w:space="0" w:color="auto"/>
        <w:left w:val="none" w:sz="0" w:space="0" w:color="auto"/>
        <w:bottom w:val="none" w:sz="0" w:space="0" w:color="auto"/>
        <w:right w:val="none" w:sz="0" w:space="0" w:color="auto"/>
      </w:divBdr>
    </w:div>
    <w:div w:id="925502369">
      <w:bodyDiv w:val="1"/>
      <w:marLeft w:val="0"/>
      <w:marRight w:val="0"/>
      <w:marTop w:val="0"/>
      <w:marBottom w:val="0"/>
      <w:divBdr>
        <w:top w:val="none" w:sz="0" w:space="0" w:color="auto"/>
        <w:left w:val="none" w:sz="0" w:space="0" w:color="auto"/>
        <w:bottom w:val="none" w:sz="0" w:space="0" w:color="auto"/>
        <w:right w:val="none" w:sz="0" w:space="0" w:color="auto"/>
      </w:divBdr>
    </w:div>
    <w:div w:id="955258274">
      <w:bodyDiv w:val="1"/>
      <w:marLeft w:val="0"/>
      <w:marRight w:val="0"/>
      <w:marTop w:val="0"/>
      <w:marBottom w:val="0"/>
      <w:divBdr>
        <w:top w:val="none" w:sz="0" w:space="0" w:color="auto"/>
        <w:left w:val="none" w:sz="0" w:space="0" w:color="auto"/>
        <w:bottom w:val="none" w:sz="0" w:space="0" w:color="auto"/>
        <w:right w:val="none" w:sz="0" w:space="0" w:color="auto"/>
      </w:divBdr>
    </w:div>
    <w:div w:id="1314070182">
      <w:bodyDiv w:val="1"/>
      <w:marLeft w:val="0"/>
      <w:marRight w:val="0"/>
      <w:marTop w:val="0"/>
      <w:marBottom w:val="0"/>
      <w:divBdr>
        <w:top w:val="none" w:sz="0" w:space="0" w:color="auto"/>
        <w:left w:val="none" w:sz="0" w:space="0" w:color="auto"/>
        <w:bottom w:val="none" w:sz="0" w:space="0" w:color="auto"/>
        <w:right w:val="none" w:sz="0" w:space="0" w:color="auto"/>
      </w:divBdr>
    </w:div>
    <w:div w:id="1315404579">
      <w:bodyDiv w:val="1"/>
      <w:marLeft w:val="0"/>
      <w:marRight w:val="0"/>
      <w:marTop w:val="0"/>
      <w:marBottom w:val="0"/>
      <w:divBdr>
        <w:top w:val="none" w:sz="0" w:space="0" w:color="auto"/>
        <w:left w:val="none" w:sz="0" w:space="0" w:color="auto"/>
        <w:bottom w:val="none" w:sz="0" w:space="0" w:color="auto"/>
        <w:right w:val="none" w:sz="0" w:space="0" w:color="auto"/>
      </w:divBdr>
    </w:div>
    <w:div w:id="17210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mr.ru" TargetMode="External"/><Relationship Id="rId13" Type="http://schemas.openxmlformats.org/officeDocument/2006/relationships/hyperlink" Target="consultantplus://offline/ref=FC846897312E2BD4721B2384DBE8A58C3C2A4FAB97764E8E4F2A57D7AE78929A029A8F6F68DA8F281FBB3293FE6B28B11F6A190F67i3U6J" TargetMode="External"/><Relationship Id="rId18" Type="http://schemas.openxmlformats.org/officeDocument/2006/relationships/hyperlink" Target="http://www.admtm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C846897312E2BD4721B2384DBE8A58C3C2A4FAB97764E8E4F2A57D7AE78929A029A8F6F69D38F281FBB3293FE6B28B11F6A190F67i3U6J" TargetMode="External"/><Relationship Id="rId17" Type="http://schemas.openxmlformats.org/officeDocument/2006/relationships/hyperlink" Target="http://www.admtm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gov.ru" TargetMode="External"/><Relationship Id="rId5" Type="http://schemas.openxmlformats.org/officeDocument/2006/relationships/webSettings" Target="webSettings.xml"/><Relationship Id="rId15" Type="http://schemas.openxmlformats.org/officeDocument/2006/relationships/hyperlink" Target="consultantplus://offline/ref=FC846897312E2BD4721B2384DBE8A58C3C2A4FAB97764E8E4F2A57D7AE78929A029A8F6861DB867F4CF433CFB83E3BB21F6A1A0F7B362CD9iBU9J" TargetMode="External"/><Relationship Id="rId10" Type="http://schemas.openxmlformats.org/officeDocument/2006/relationships/hyperlink" Target="http://utp.sberbank-as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consultantplus://offline/ref=FC846897312E2BD4721B2384DBE8A58C3C2A4FAB97764E8E4F2A57D7AE78929A029A8F6E61D88F281FBB3293FE6B28B11F6A190F67i3U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BB33A-3DFF-4E40-BAC9-0AECC254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5080</Words>
  <Characters>28956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None</Company>
  <LinksUpToDate>false</LinksUpToDate>
  <CharactersWithSpaces>33969</CharactersWithSpaces>
  <SharedDoc>false</SharedDoc>
  <HLinks>
    <vt:vector size="30" baseType="variant">
      <vt:variant>
        <vt:i4>1114176</vt:i4>
      </vt:variant>
      <vt:variant>
        <vt:i4>12</vt:i4>
      </vt:variant>
      <vt:variant>
        <vt:i4>0</vt:i4>
      </vt:variant>
      <vt:variant>
        <vt:i4>5</vt:i4>
      </vt:variant>
      <vt:variant>
        <vt:lpwstr>http://www.admtmr.ru/</vt:lpwstr>
      </vt:variant>
      <vt:variant>
        <vt:lpwstr/>
      </vt:variant>
      <vt:variant>
        <vt:i4>2031703</vt:i4>
      </vt:variant>
      <vt:variant>
        <vt:i4>9</vt:i4>
      </vt:variant>
      <vt:variant>
        <vt:i4>0</vt:i4>
      </vt:variant>
      <vt:variant>
        <vt:i4>5</vt:i4>
      </vt:variant>
      <vt:variant>
        <vt:lpwstr>https://www.roseltorg.ru/</vt:lpwstr>
      </vt:variant>
      <vt:variant>
        <vt:lpwstr/>
      </vt:variant>
      <vt:variant>
        <vt:i4>1114176</vt:i4>
      </vt:variant>
      <vt:variant>
        <vt:i4>6</vt:i4>
      </vt:variant>
      <vt:variant>
        <vt:i4>0</vt:i4>
      </vt:variant>
      <vt:variant>
        <vt:i4>5</vt:i4>
      </vt:variant>
      <vt:variant>
        <vt:lpwstr>http://www.admtmr.ru/</vt:lpwstr>
      </vt:variant>
      <vt:variant>
        <vt:lpwstr/>
      </vt:variant>
      <vt:variant>
        <vt:i4>524354</vt:i4>
      </vt:variant>
      <vt:variant>
        <vt:i4>3</vt:i4>
      </vt:variant>
      <vt:variant>
        <vt:i4>0</vt:i4>
      </vt:variant>
      <vt:variant>
        <vt:i4>5</vt:i4>
      </vt:variant>
      <vt:variant>
        <vt:lpwstr>http://www.torgi.gov.ru/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Тирских</dc:creator>
  <cp:lastModifiedBy>user</cp:lastModifiedBy>
  <cp:revision>2</cp:revision>
  <cp:lastPrinted>2025-03-14T06:06:00Z</cp:lastPrinted>
  <dcterms:created xsi:type="dcterms:W3CDTF">2025-04-02T05:30:00Z</dcterms:created>
  <dcterms:modified xsi:type="dcterms:W3CDTF">2025-04-02T05:30:00Z</dcterms:modified>
</cp:coreProperties>
</file>