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E120A1" w:rsidRDefault="0003052F" w:rsidP="00E1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03052F" w:rsidRPr="00E120A1" w:rsidRDefault="0003052F" w:rsidP="00E120A1">
      <w:pPr>
        <w:pStyle w:val="2"/>
        <w:ind w:firstLine="709"/>
        <w:rPr>
          <w:b/>
          <w:sz w:val="24"/>
          <w:szCs w:val="24"/>
        </w:rPr>
      </w:pPr>
      <w:r w:rsidRPr="00E120A1">
        <w:rPr>
          <w:b/>
          <w:sz w:val="24"/>
          <w:szCs w:val="24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120A1">
        <w:rPr>
          <w:b/>
          <w:sz w:val="24"/>
          <w:szCs w:val="24"/>
        </w:rPr>
        <w:t xml:space="preserve"> по адресу:</w:t>
      </w:r>
      <w:r w:rsidR="00AA5BFA" w:rsidRPr="00E120A1">
        <w:rPr>
          <w:sz w:val="24"/>
          <w:szCs w:val="24"/>
        </w:rPr>
        <w:t xml:space="preserve"> Ярославская область, Тутаевский муниципальный район, </w:t>
      </w:r>
      <w:r w:rsidR="00F0345A">
        <w:rPr>
          <w:sz w:val="24"/>
          <w:szCs w:val="24"/>
        </w:rPr>
        <w:t>городское поселение Тутаев, город Тутаев, зона Промзона</w:t>
      </w:r>
      <w:r w:rsidR="00AA5BFA" w:rsidRPr="00E120A1">
        <w:rPr>
          <w:sz w:val="24"/>
          <w:szCs w:val="24"/>
        </w:rPr>
        <w:t xml:space="preserve">, земельный участок </w:t>
      </w:r>
      <w:r w:rsidR="00F0345A">
        <w:rPr>
          <w:sz w:val="24"/>
          <w:szCs w:val="24"/>
        </w:rPr>
        <w:t>13</w:t>
      </w:r>
      <w:r w:rsidRPr="00E120A1">
        <w:rPr>
          <w:b/>
          <w:sz w:val="24"/>
          <w:szCs w:val="24"/>
        </w:rPr>
        <w:t xml:space="preserve"> (далее </w:t>
      </w:r>
      <w:r w:rsidRPr="00E120A1">
        <w:rPr>
          <w:b/>
          <w:sz w:val="24"/>
          <w:szCs w:val="24"/>
        </w:rPr>
        <w:softHyphen/>
        <w:t>– аукцион).</w:t>
      </w:r>
    </w:p>
    <w:p w:rsidR="0003052F" w:rsidRPr="00E120A1" w:rsidRDefault="0003052F" w:rsidP="00E1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1.Организатор аукциона: </w:t>
      </w:r>
      <w:r w:rsidRPr="00E1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инистерство конкурентной политики Ярославской области.   </w:t>
      </w:r>
    </w:p>
    <w:p w:rsidR="0003052F" w:rsidRPr="00E120A1" w:rsidRDefault="0003052F" w:rsidP="00E1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организатора торгов: 150003, Ярославская область, г. Ярославль</w:t>
      </w:r>
      <w:r w:rsidR="00B15B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ул. Ползунова, д.15. Адрес электронной почты: </w:t>
      </w:r>
      <w:r w:rsidRPr="00E120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mkp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120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yarregion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20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контактный телефон:                         +7 (4852) 78-62-62.    </w:t>
      </w:r>
    </w:p>
    <w:p w:rsidR="00AA5BFA" w:rsidRPr="00E120A1" w:rsidRDefault="0003052F" w:rsidP="00E120A1">
      <w:pPr>
        <w:pStyle w:val="a9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E120A1">
        <w:rPr>
          <w:b/>
          <w:sz w:val="24"/>
          <w:szCs w:val="24"/>
        </w:rPr>
        <w:t xml:space="preserve">Инициатор аукциона (правообладатель имущества): </w:t>
      </w:r>
      <w:r w:rsidR="00AA5BFA" w:rsidRPr="00E120A1">
        <w:rPr>
          <w:sz w:val="24"/>
          <w:szCs w:val="24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120A1">
          <w:rPr>
            <w:rStyle w:val="a8"/>
            <w:sz w:val="24"/>
            <w:szCs w:val="24"/>
          </w:rPr>
          <w:t>http://www.</w:t>
        </w:r>
        <w:r w:rsidR="00AA5BFA" w:rsidRPr="00E120A1">
          <w:rPr>
            <w:rStyle w:val="a8"/>
            <w:sz w:val="24"/>
            <w:szCs w:val="24"/>
            <w:lang w:val="en-US"/>
          </w:rPr>
          <w:t>admtmr</w:t>
        </w:r>
        <w:r w:rsidR="00AA5BFA" w:rsidRPr="00E120A1">
          <w:rPr>
            <w:rStyle w:val="a8"/>
            <w:sz w:val="24"/>
            <w:szCs w:val="24"/>
          </w:rPr>
          <w:t>.ru</w:t>
        </w:r>
      </w:hyperlink>
      <w:r w:rsidR="00AA5BFA" w:rsidRPr="00E120A1">
        <w:rPr>
          <w:sz w:val="24"/>
          <w:szCs w:val="24"/>
        </w:rPr>
        <w:t>.Номер контактного телефона: 8(48533) 23577, адрес электронной почты:</w:t>
      </w:r>
      <w:hyperlink r:id="rId8" w:history="1">
        <w:r w:rsidR="00F0345A" w:rsidRPr="00723CA3">
          <w:rPr>
            <w:rStyle w:val="a8"/>
            <w:sz w:val="24"/>
            <w:szCs w:val="24"/>
          </w:rPr>
          <w:t>dmi@admtmr.ru</w:t>
        </w:r>
      </w:hyperlink>
      <w:r w:rsidR="00AA5BFA" w:rsidRPr="00E120A1">
        <w:rPr>
          <w:sz w:val="24"/>
          <w:szCs w:val="24"/>
        </w:rPr>
        <w:t>, Петрова А.Е.</w:t>
      </w:r>
    </w:p>
    <w:p w:rsidR="00AA5BFA" w:rsidRPr="00B15B99" w:rsidRDefault="0003052F" w:rsidP="00E120A1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электронной площадки:</w:t>
      </w:r>
      <w:r w:rsidR="00AA5BFA" w:rsidRPr="00B15B9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площадка АО «Сбербанк-АСТ».  Адрес сайта: </w:t>
      </w:r>
      <w:hyperlink r:id="rId9" w:history="1">
        <w:r w:rsidR="00AA5BFA" w:rsidRPr="00B15B99">
          <w:rPr>
            <w:rStyle w:val="a8"/>
            <w:rFonts w:ascii="Times New Roman" w:hAnsi="Times New Roman"/>
            <w:sz w:val="24"/>
            <w:szCs w:val="24"/>
          </w:rPr>
          <w:t>http://utp.sberbank-ast.ru/</w:t>
        </w:r>
      </w:hyperlink>
      <w:r w:rsidR="00AA5BFA" w:rsidRPr="00B15B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52F" w:rsidRPr="00E120A1" w:rsidRDefault="0003052F" w:rsidP="00E120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приема заявок и место проведения аукциона:</w:t>
      </w:r>
      <w:r w:rsidR="00AA5BFA" w:rsidRPr="00B15B99">
        <w:rPr>
          <w:rFonts w:ascii="Times New Roman" w:hAnsi="Times New Roman" w:cs="Times New Roman"/>
          <w:sz w:val="24"/>
          <w:szCs w:val="24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B15B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Регламентом и инструкциями (далее – ЭТП).</w:t>
      </w:r>
    </w:p>
    <w:p w:rsidR="00AA5BFA" w:rsidRPr="00E120A1" w:rsidRDefault="0003052F" w:rsidP="00E120A1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2.Основание проведения аукциона и реквизиты решения о проведении аукциона:</w:t>
      </w:r>
    </w:p>
    <w:p w:rsidR="00B15B99" w:rsidRDefault="00AA5BFA" w:rsidP="00B15B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0A1">
        <w:rPr>
          <w:rFonts w:ascii="Times New Roman" w:hAnsi="Times New Roman" w:cs="Times New Roman"/>
          <w:sz w:val="24"/>
          <w:szCs w:val="24"/>
        </w:rPr>
        <w:t xml:space="preserve"> 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BA6A50">
        <w:rPr>
          <w:rFonts w:ascii="Times New Roman" w:hAnsi="Times New Roman" w:cs="Times New Roman"/>
          <w:sz w:val="24"/>
          <w:szCs w:val="24"/>
        </w:rPr>
        <w:t>21.05</w:t>
      </w:r>
      <w:r w:rsidRPr="00E120A1">
        <w:rPr>
          <w:rFonts w:ascii="Times New Roman" w:hAnsi="Times New Roman" w:cs="Times New Roman"/>
          <w:sz w:val="24"/>
          <w:szCs w:val="24"/>
        </w:rPr>
        <w:t xml:space="preserve">.2025 № </w:t>
      </w:r>
      <w:r w:rsidR="00BA6A50">
        <w:rPr>
          <w:rFonts w:ascii="Times New Roman" w:hAnsi="Times New Roman" w:cs="Times New Roman"/>
          <w:sz w:val="24"/>
          <w:szCs w:val="24"/>
        </w:rPr>
        <w:t>106</w:t>
      </w:r>
      <w:r w:rsidRPr="00E120A1">
        <w:rPr>
          <w:rFonts w:ascii="Times New Roman" w:hAnsi="Times New Roman" w:cs="Times New Roman"/>
          <w:sz w:val="24"/>
          <w:szCs w:val="24"/>
        </w:rPr>
        <w:t>-з «О проведении аукциона в электронной форме на право заключения договора аренды земельного участка»</w:t>
      </w:r>
      <w:r w:rsidR="00B15B99">
        <w:rPr>
          <w:rFonts w:ascii="Times New Roman" w:hAnsi="Times New Roman" w:cs="Times New Roman"/>
          <w:sz w:val="24"/>
          <w:szCs w:val="24"/>
        </w:rPr>
        <w:t xml:space="preserve"> (далее – Постановление).</w:t>
      </w:r>
    </w:p>
    <w:p w:rsidR="00CF2EAF" w:rsidRDefault="0003052F" w:rsidP="00CF2EAF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F2EAF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="00CF2EAF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03052F" w:rsidRPr="00E120A1" w:rsidRDefault="00CF2EAF" w:rsidP="00CF2EAF">
      <w:pPr>
        <w:tabs>
          <w:tab w:val="left" w:pos="709"/>
          <w:tab w:val="left" w:pos="851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Аукцион является открытым по составу участников и по форме подачи предложений </w:t>
      </w:r>
    </w:p>
    <w:p w:rsidR="0003052F" w:rsidRPr="00E120A1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электронн</w:t>
      </w:r>
      <w:r w:rsidR="00A60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аукциона:</w:t>
      </w:r>
      <w:r w:rsidRPr="00E1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1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своевременно подавшие заявку на участие </w:t>
      </w:r>
      <w:r w:rsidRPr="00E1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120A1" w:rsidRDefault="0003052F" w:rsidP="00E120A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E120A1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5.Сведения о предмете аукциона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52F" w:rsidRPr="00E120A1" w:rsidRDefault="0003052F" w:rsidP="00E12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072C95"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заключение договора аренды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 </w:t>
      </w:r>
    </w:p>
    <w:p w:rsidR="00F0345A" w:rsidRDefault="0003052F" w:rsidP="00F0345A">
      <w:pPr>
        <w:pStyle w:val="2"/>
        <w:ind w:firstLine="0"/>
        <w:rPr>
          <w:b/>
          <w:sz w:val="24"/>
          <w:szCs w:val="24"/>
          <w:lang w:eastAsia="zh-CN"/>
        </w:rPr>
      </w:pPr>
      <w:r w:rsidRPr="00E120A1">
        <w:rPr>
          <w:b/>
          <w:sz w:val="24"/>
          <w:szCs w:val="24"/>
          <w:lang w:eastAsia="zh-CN"/>
        </w:rPr>
        <w:t xml:space="preserve">Местоположение (адрес) земельного участка: </w:t>
      </w:r>
      <w:r w:rsidR="00F0345A" w:rsidRPr="00E120A1">
        <w:rPr>
          <w:sz w:val="24"/>
          <w:szCs w:val="24"/>
        </w:rPr>
        <w:t xml:space="preserve">Ярославская область, Тутаевский муниципальный район, </w:t>
      </w:r>
      <w:r w:rsidR="00F0345A">
        <w:rPr>
          <w:sz w:val="24"/>
          <w:szCs w:val="24"/>
        </w:rPr>
        <w:t>городское поселение Тутаев, город Тутаев, зона Промзона</w:t>
      </w:r>
      <w:r w:rsidR="00F0345A" w:rsidRPr="00E120A1">
        <w:rPr>
          <w:sz w:val="24"/>
          <w:szCs w:val="24"/>
        </w:rPr>
        <w:t xml:space="preserve">, земельный участок </w:t>
      </w:r>
      <w:r w:rsidR="00F0345A">
        <w:rPr>
          <w:sz w:val="24"/>
          <w:szCs w:val="24"/>
        </w:rPr>
        <w:t>13</w:t>
      </w:r>
    </w:p>
    <w:p w:rsidR="0003052F" w:rsidRPr="00E120A1" w:rsidRDefault="0003052F" w:rsidP="00F0345A">
      <w:pPr>
        <w:pStyle w:val="2"/>
        <w:ind w:firstLine="0"/>
        <w:rPr>
          <w:b/>
          <w:sz w:val="24"/>
          <w:szCs w:val="24"/>
          <w:lang w:eastAsia="zh-CN"/>
        </w:rPr>
      </w:pPr>
      <w:r w:rsidRPr="00E120A1">
        <w:rPr>
          <w:b/>
          <w:sz w:val="24"/>
          <w:szCs w:val="24"/>
          <w:lang w:eastAsia="zh-CN"/>
        </w:rPr>
        <w:t xml:space="preserve">Площадь земельного участка: </w:t>
      </w:r>
      <w:r w:rsidR="00F0345A">
        <w:rPr>
          <w:sz w:val="24"/>
          <w:szCs w:val="24"/>
          <w:lang w:eastAsia="zh-CN"/>
        </w:rPr>
        <w:t>36462</w:t>
      </w:r>
      <w:r w:rsidRPr="00E120A1">
        <w:rPr>
          <w:sz w:val="24"/>
          <w:szCs w:val="24"/>
          <w:lang w:eastAsia="zh-CN"/>
        </w:rPr>
        <w:t>кв. м.</w:t>
      </w:r>
    </w:p>
    <w:p w:rsidR="0003052F" w:rsidRPr="00E120A1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Кадастровый номер земельного участка: </w:t>
      </w:r>
      <w:r w:rsidR="00072C95" w:rsidRPr="00E120A1">
        <w:rPr>
          <w:rFonts w:ascii="Times New Roman" w:hAnsi="Times New Roman" w:cs="Times New Roman"/>
          <w:sz w:val="24"/>
          <w:szCs w:val="24"/>
        </w:rPr>
        <w:t>76:</w:t>
      </w:r>
      <w:r w:rsidR="00F0345A">
        <w:rPr>
          <w:rFonts w:ascii="Times New Roman" w:hAnsi="Times New Roman" w:cs="Times New Roman"/>
          <w:sz w:val="24"/>
          <w:szCs w:val="24"/>
        </w:rPr>
        <w:t>21:010202:382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3052F" w:rsidRPr="00E120A1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Категория земель:</w:t>
      </w:r>
      <w:r w:rsidR="00072C95" w:rsidRPr="00E120A1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 w:rsidR="00072C95" w:rsidRPr="00E120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60F25" w:rsidRDefault="0003052F" w:rsidP="00A60F25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Разрешенное использование земельного участка:</w:t>
      </w:r>
      <w:r w:rsidR="00F0345A">
        <w:rPr>
          <w:rFonts w:ascii="Times New Roman" w:hAnsi="Times New Roman" w:cs="Times New Roman"/>
          <w:sz w:val="24"/>
          <w:szCs w:val="24"/>
        </w:rPr>
        <w:t xml:space="preserve"> производственная деятельность</w:t>
      </w:r>
      <w:r w:rsidR="00072C95" w:rsidRPr="00E120A1">
        <w:rPr>
          <w:rFonts w:ascii="Times New Roman" w:hAnsi="Times New Roman" w:cs="Times New Roman"/>
          <w:sz w:val="24"/>
          <w:szCs w:val="24"/>
        </w:rPr>
        <w:t>.</w:t>
      </w:r>
    </w:p>
    <w:p w:rsidR="0003052F" w:rsidRPr="00EB5291" w:rsidRDefault="00046D1B" w:rsidP="00EB52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6D1B">
        <w:rPr>
          <w:rFonts w:ascii="Times New Roman" w:hAnsi="Times New Roman" w:cs="Times New Roman"/>
          <w:b/>
          <w:sz w:val="24"/>
          <w:szCs w:val="24"/>
        </w:rPr>
        <w:t>Основные 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в территориальной зоне </w:t>
      </w:r>
      <w:r w:rsidR="00F0345A" w:rsidRPr="00EB5291">
        <w:rPr>
          <w:rFonts w:ascii="Times New Roman" w:hAnsi="Times New Roman" w:cs="Times New Roman"/>
          <w:sz w:val="24"/>
          <w:szCs w:val="24"/>
        </w:rPr>
        <w:t>П- производственная зона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4AE0" w:rsidRPr="00EB5291">
        <w:rPr>
          <w:rFonts w:ascii="Times New Roman" w:hAnsi="Times New Roman" w:cs="Times New Roman"/>
          <w:sz w:val="24"/>
          <w:szCs w:val="24"/>
        </w:rPr>
        <w:t xml:space="preserve"> Коммунальное обслуживание (3.1), Обеспечение научной деятельности (3.9), Ветеринарное обслуживание (3.10), Деловое управление (4.1), Служебные гаражи (4.9), Объекты дорожного сервиса (4.9.1),</w:t>
      </w:r>
      <w:r w:rsidR="00154AE0" w:rsidRPr="00EB5291">
        <w:rPr>
          <w:rStyle w:val="searchresul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Стоянка</w:t>
      </w:r>
      <w:r w:rsidR="00154AE0" w:rsidRPr="00EB5291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транспортныхсредств (4.9.2)</w:t>
      </w:r>
      <w:r w:rsidR="00154AE0" w:rsidRPr="00EB5291">
        <w:rPr>
          <w:rFonts w:ascii="Times New Roman" w:hAnsi="Times New Roman" w:cs="Times New Roman"/>
          <w:sz w:val="24"/>
          <w:szCs w:val="24"/>
        </w:rPr>
        <w:t>,</w:t>
      </w:r>
      <w:r w:rsidR="00EB5291">
        <w:rPr>
          <w:rFonts w:ascii="Times New Roman" w:hAnsi="Times New Roman" w:cs="Times New Roman"/>
          <w:sz w:val="24"/>
          <w:szCs w:val="24"/>
        </w:rPr>
        <w:t xml:space="preserve">  П</w:t>
      </w:r>
      <w:r w:rsidR="00154AE0" w:rsidRPr="00EB5291">
        <w:rPr>
          <w:rFonts w:ascii="Times New Roman" w:hAnsi="Times New Roman" w:cs="Times New Roman"/>
          <w:sz w:val="24"/>
          <w:szCs w:val="24"/>
        </w:rPr>
        <w:t>роизводственная деятельность (6.0)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Недропользование (6.1)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Тяжелая промышленность (6.2)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Автомобилестроительная промышленность (6.2.1)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Легкая промышленность (6.3)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Пищевая промышленность (6.4)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Нефтехимическая промышленность (6.5)</w:t>
      </w:r>
      <w:r w:rsid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Фармацевтическая промышленность (6.3.1)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Строительная промышленность (6.6)</w:t>
      </w:r>
      <w:r w:rsidR="00EB5291">
        <w:rPr>
          <w:rFonts w:ascii="Times New Roman" w:hAnsi="Times New Roman" w:cs="Times New Roman"/>
          <w:sz w:val="24"/>
          <w:szCs w:val="24"/>
        </w:rPr>
        <w:t>,</w:t>
      </w:r>
      <w:r w:rsidR="00154AE0" w:rsidRPr="00EB5291">
        <w:rPr>
          <w:rFonts w:ascii="Times New Roman" w:hAnsi="Times New Roman" w:cs="Times New Roman"/>
          <w:sz w:val="24"/>
          <w:szCs w:val="24"/>
        </w:rPr>
        <w:t>Энергетика (6.7)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Связь (6.8)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Склад (6.9)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Складские площадки (6.9.1)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Целлюлозно-бумажная промышленность (6.11)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Автомобильный транспорт (7.2)</w:t>
      </w:r>
      <w:r w:rsid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Водный транспорт (7.3)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Научно-производственная деятельность (6.12)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lastRenderedPageBreak/>
        <w:t>Земельные участки (территории) общего пользования (12.0)</w:t>
      </w:r>
      <w:r w:rsidR="00EB5291" w:rsidRPr="00EB5291">
        <w:rPr>
          <w:rFonts w:ascii="Times New Roman" w:hAnsi="Times New Roman" w:cs="Times New Roman"/>
          <w:sz w:val="24"/>
          <w:szCs w:val="24"/>
        </w:rPr>
        <w:t xml:space="preserve">, </w:t>
      </w:r>
      <w:r w:rsidR="00154AE0" w:rsidRPr="00EB5291">
        <w:rPr>
          <w:rFonts w:ascii="Times New Roman" w:hAnsi="Times New Roman" w:cs="Times New Roman"/>
          <w:sz w:val="24"/>
          <w:szCs w:val="24"/>
        </w:rPr>
        <w:t>Трубопроводный транспорт(7.5)</w:t>
      </w:r>
      <w:r w:rsidR="00EB5291" w:rsidRPr="00EB5291">
        <w:rPr>
          <w:rFonts w:ascii="Times New Roman" w:hAnsi="Times New Roman" w:cs="Times New Roman"/>
          <w:sz w:val="24"/>
          <w:szCs w:val="24"/>
        </w:rPr>
        <w:t>.</w:t>
      </w:r>
    </w:p>
    <w:p w:rsidR="0003052F" w:rsidRPr="00E120A1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Сведения о правах на земельный участок:</w:t>
      </w:r>
      <w:r w:rsidR="00072C95" w:rsidRPr="00E120A1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отсутствуют.</w:t>
      </w:r>
    </w:p>
    <w:p w:rsidR="0003052F" w:rsidRPr="00E120A1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Доступ </w:t>
      </w:r>
      <w:r w:rsidR="00072C95" w:rsidRPr="00E120A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имеется.</w:t>
      </w:r>
    </w:p>
    <w:p w:rsidR="00072C95" w:rsidRPr="00E120A1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0A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072C95" w:rsidRPr="00E120A1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расположен </w:t>
      </w:r>
      <w:r w:rsidR="00F0345A">
        <w:rPr>
          <w:rFonts w:ascii="Times New Roman" w:hAnsi="Times New Roman" w:cs="Times New Roman"/>
          <w:bCs/>
          <w:sz w:val="24"/>
          <w:szCs w:val="24"/>
        </w:rPr>
        <w:t xml:space="preserve">на расстоянии ориентировочно 100 м до объекта капитального строительства застройки. Ограничения изложены в гл. </w:t>
      </w:r>
      <w:r w:rsidR="00F0345A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="00F0345A">
        <w:rPr>
          <w:rFonts w:ascii="Times New Roman" w:hAnsi="Times New Roman" w:cs="Times New Roman"/>
          <w:bCs/>
          <w:sz w:val="24"/>
          <w:szCs w:val="24"/>
        </w:rPr>
        <w:t xml:space="preserve"> Приложения 2.2.1/21.1. 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 Санитарно-Эпидемиологические правила и нормативы Санпин 2.2.1/2.1.1.1200-03. Новая редакция, установлены Постановлением Главного государственного санитарного врача РФ</w:t>
      </w:r>
      <w:r w:rsidR="00E24A9B">
        <w:rPr>
          <w:rFonts w:ascii="Times New Roman" w:hAnsi="Times New Roman" w:cs="Times New Roman"/>
          <w:bCs/>
          <w:sz w:val="24"/>
          <w:szCs w:val="24"/>
        </w:rPr>
        <w:t xml:space="preserve"> от 25.09.2007 №74 ( ред. от 25.04.2014)» О введении в действие новой редакции санитарно-эпидемиологических правил и нормативов СанПиН 2.2.1/2.1.1..1200-03 «Санитарно-защитные зоны и санитарная классификация предприятий, сооружений и иных объектов» (Зарегистрировано в Минюсте России 25.01.2008 №10995). </w:t>
      </w:r>
    </w:p>
    <w:p w:rsidR="0003052F" w:rsidRPr="00E120A1" w:rsidRDefault="0003052F" w:rsidP="00E24A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аренды земельного участка</w:t>
      </w:r>
      <w:r w:rsidR="00423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24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128 месяцев.</w:t>
      </w:r>
    </w:p>
    <w:p w:rsidR="0003052F" w:rsidRPr="00E120A1" w:rsidRDefault="0003052F" w:rsidP="00E120A1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 использования территории:</w:t>
      </w:r>
    </w:p>
    <w:p w:rsidR="0003052F" w:rsidRPr="00E120A1" w:rsidRDefault="0003052F" w:rsidP="00E12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E120A1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120A1" w:rsidRDefault="00E24A9B" w:rsidP="00E120A1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</w:tr>
      <w:tr w:rsidR="0003052F" w:rsidRPr="00E120A1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423A92" w:rsidRDefault="00E24A9B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01F2E" w:rsidRPr="00423A92">
              <w:rPr>
                <w:rFonts w:ascii="Times New Roman" w:hAnsi="Times New Roman" w:cs="Times New Roman"/>
                <w:iCs/>
                <w:sz w:val="24"/>
                <w:szCs w:val="24"/>
              </w:rPr>
              <w:t>0 %</w:t>
            </w: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120A1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423A92" w:rsidRDefault="00101F2E" w:rsidP="00E120A1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3A92">
              <w:rPr>
                <w:rFonts w:ascii="Times New Roman" w:hAnsi="Times New Roman" w:cs="Times New Roman"/>
                <w:iCs/>
                <w:sz w:val="24"/>
                <w:szCs w:val="24"/>
              </w:rPr>
              <w:t>3, включая мансардный</w:t>
            </w: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E24A9B" w:rsidRPr="00E24A9B" w:rsidRDefault="00E24A9B" w:rsidP="00E24A9B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</w:t>
            </w:r>
            <w:r w:rsidRPr="00E24A9B">
              <w:rPr>
                <w:rFonts w:ascii="Times New Roman" w:eastAsia="Calibri" w:hAnsi="Times New Roman" w:cs="Times New Roman"/>
              </w:rPr>
              <w:t xml:space="preserve"> устанавливаются </w:t>
            </w:r>
            <w:r w:rsidRPr="00E24A9B">
              <w:rPr>
                <w:rFonts w:ascii="Times New Roman" w:hAnsi="Times New Roman" w:cs="Times New Roman"/>
              </w:rPr>
              <w:t xml:space="preserve"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назначения, </w:t>
            </w:r>
            <w:r w:rsidRPr="00E24A9B">
              <w:rPr>
                <w:rFonts w:ascii="Times New Roman" w:eastAsia="Calibri" w:hAnsi="Times New Roman" w:cs="Times New Roman"/>
              </w:rPr>
              <w:t>на основе расчетов инсоляции и освещенности, соблюдения противопожарных и бытовых разрывов, но не менее 2 м.</w:t>
            </w:r>
          </w:p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24A9B">
              <w:rPr>
                <w:rFonts w:ascii="Times New Roman" w:eastAsia="Calibri" w:hAnsi="Times New Roman" w:cs="Times New Roman"/>
              </w:rPr>
              <w:t>В случае строительства или реконструкции объекта капитального строительства на двух земельных участках, находящихся на правах собственности и (или) аренды у одного лица, м</w:t>
            </w:r>
            <w:r w:rsidRPr="00E24A9B">
              <w:rPr>
                <w:rFonts w:ascii="Times New Roman" w:hAnsi="Times New Roman" w:cs="Times New Roman"/>
              </w:rPr>
              <w:t xml:space="preserve">инимальные отступы от смежной границытаких участков </w:t>
            </w:r>
            <w:r w:rsidRPr="00E24A9B">
              <w:rPr>
                <w:rFonts w:ascii="Times New Roman" w:hAnsi="Times New Roman" w:cs="Times New Roman"/>
              </w:rPr>
              <w:lastRenderedPageBreak/>
              <w:t>в целях определения места допустимого размещения зданий, строений, сооружений</w:t>
            </w:r>
            <w:r w:rsidRPr="00E24A9B">
              <w:rPr>
                <w:rFonts w:ascii="Times New Roman" w:eastAsia="Calibri" w:hAnsi="Times New Roman" w:cs="Times New Roman"/>
              </w:rPr>
              <w:t xml:space="preserve"> устанавливаются 0 м.</w:t>
            </w:r>
          </w:p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м.</w:t>
            </w:r>
          </w:p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24A9B">
              <w:rPr>
                <w:rFonts w:ascii="Times New Roman" w:eastAsia="Calibri" w:hAnsi="Times New Roman" w:cs="Times New Roman"/>
              </w:rPr>
              <w:t>1.3. 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      </w:r>
          </w:p>
          <w:p w:rsidR="00E24A9B" w:rsidRPr="00E24A9B" w:rsidRDefault="00E24A9B" w:rsidP="00E24A9B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eastAsia="Calibri" w:hAnsi="Times New Roman" w:cs="Times New Roman"/>
              </w:rPr>
              <w:t xml:space="preserve">1.4. </w:t>
            </w:r>
            <w:r w:rsidRPr="00E24A9B">
              <w:rPr>
                <w:rFonts w:ascii="Times New Roman" w:hAnsi="Times New Roman" w:cs="Times New Roman"/>
              </w:rPr>
              <w:t>Производственные зоны, как правило, не должны быть разделены на обособленные участки железными и автомобильными дорогами общей сети.</w:t>
            </w:r>
          </w:p>
          <w:p w:rsidR="00E24A9B" w:rsidRPr="00E24A9B" w:rsidRDefault="00E24A9B" w:rsidP="00E24A9B">
            <w:pPr>
              <w:pStyle w:val="u"/>
              <w:ind w:firstLine="709"/>
              <w:rPr>
                <w:rFonts w:eastAsia="MS Mincho" w:cs="Times New Roman"/>
                <w:color w:val="auto"/>
                <w:sz w:val="22"/>
                <w:szCs w:val="22"/>
              </w:rPr>
            </w:pPr>
            <w:r w:rsidRPr="00E24A9B">
              <w:rPr>
                <w:rFonts w:cs="Times New Roman"/>
                <w:sz w:val="22"/>
                <w:szCs w:val="22"/>
              </w:rPr>
              <w:t xml:space="preserve">1.5. </w:t>
            </w:r>
            <w:r w:rsidRPr="00E24A9B">
              <w:rPr>
                <w:rFonts w:eastAsia="MS Mincho" w:cs="Times New Roman"/>
                <w:color w:val="auto"/>
                <w:sz w:val="22"/>
                <w:szCs w:val="22"/>
              </w:rPr>
              <w:t>Класс    опасности    для    объектов    капитального    строительстваопределяется в   соответствии   с   СанПиН   2.2.1/2.1.1.1200-03,   если   иное   не   установлено проектом санитарно-защитной зоны объекта.</w:t>
            </w:r>
          </w:p>
          <w:p w:rsid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eastAsia="Calibri"/>
              </w:rPr>
            </w:pPr>
            <w:r w:rsidRPr="00E24A9B">
              <w:rPr>
                <w:rFonts w:ascii="Times New Roman" w:eastAsia="Calibri" w:hAnsi="Times New Roman" w:cs="Times New Roman"/>
              </w:rPr>
              <w:t xml:space="preserve">1.6. В случае, если земельный участок (его часть) и объект капитального строительства расположены в границах зон с особыми условиями использования территорий в соответствии с </w:t>
            </w:r>
            <w:hyperlink w:anchor="Par2799" w:history="1">
              <w:r w:rsidRPr="00E24A9B">
                <w:rPr>
                  <w:rFonts w:ascii="Times New Roman" w:eastAsia="Calibri" w:hAnsi="Times New Roman" w:cs="Times New Roman"/>
                </w:rPr>
                <w:t>Картой</w:t>
              </w:r>
            </w:hyperlink>
            <w:r w:rsidRPr="00E24A9B">
              <w:rPr>
                <w:rFonts w:ascii="Times New Roman" w:eastAsia="Calibri" w:hAnsi="Times New Roman" w:cs="Times New Roman"/>
              </w:rPr>
              <w:t xml:space="preserve"> градостроительного зонирования городского поселения Тутаев, использование земельного участка (его части) и объекта капитального строительства осуществляется с учетом ограничений, установленных законодательством Российской Федерации, законодательством Ярославской области</w:t>
            </w:r>
            <w:r w:rsidRPr="00C168B8">
              <w:rPr>
                <w:rFonts w:eastAsia="Calibri"/>
              </w:rPr>
              <w:t>.</w:t>
            </w:r>
          </w:p>
          <w:p w:rsidR="0003052F" w:rsidRPr="00E120A1" w:rsidRDefault="0003052F" w:rsidP="00E24A9B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120A1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hAnsi="Times New Roman" w:cs="Times New Roman"/>
                <w:sz w:val="24"/>
                <w:szCs w:val="24"/>
              </w:rPr>
              <w:t>Не установлен</w:t>
            </w:r>
            <w:r w:rsidR="00423A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120A1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52F" w:rsidRPr="00E120A1" w:rsidTr="00D60C39">
        <w:tc>
          <w:tcPr>
            <w:tcW w:w="340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24A9B">
              <w:rPr>
                <w:rFonts w:ascii="Times New Roman" w:hAnsi="Times New Roman" w:cs="Times New Roman"/>
                <w:lang w:bidi="ru-RU"/>
              </w:rPr>
              <w:t>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      </w:r>
          </w:p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24A9B">
              <w:rPr>
                <w:rFonts w:ascii="Times New Roman" w:hAnsi="Times New Roman" w:cs="Times New Roman"/>
                <w:lang w:bidi="ru-RU"/>
              </w:rPr>
              <w:t>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18.13330.2011 «Генеральные планы промышленных предприятий. Актуализированная редакция СНиП II-89-80*».</w:t>
            </w:r>
          </w:p>
          <w:p w:rsidR="00E24A9B" w:rsidRPr="00E24A9B" w:rsidRDefault="00E24A9B" w:rsidP="00E24A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 xml:space="preserve">Размеры земельных участков организаций, учреждений и предприятий обслуживания принимаются в соответствии с </w:t>
            </w:r>
            <w:r w:rsidRPr="00E24A9B">
              <w:rPr>
                <w:rFonts w:ascii="Times New Roman" w:eastAsia="Calibri" w:hAnsi="Times New Roman" w:cs="Times New Roman"/>
              </w:rPr>
              <w:t>СП 42.13330.2016</w:t>
            </w:r>
            <w:r w:rsidRPr="00E24A9B">
              <w:rPr>
                <w:rFonts w:ascii="Times New Roman" w:hAnsi="Times New Roman" w:cs="Times New Roman"/>
              </w:rPr>
              <w:t xml:space="preserve">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земельных участков».</w:t>
            </w:r>
          </w:p>
          <w:p w:rsidR="0003052F" w:rsidRPr="00E120A1" w:rsidRDefault="0003052F" w:rsidP="00E24A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52F" w:rsidRPr="00E120A1" w:rsidRDefault="0003052F" w:rsidP="00E12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3052F" w:rsidRPr="00E120A1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03052F" w:rsidRPr="00E120A1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E120A1" w:rsidTr="00D60C39">
        <w:trPr>
          <w:trHeight w:val="582"/>
        </w:trPr>
        <w:tc>
          <w:tcPr>
            <w:tcW w:w="2694" w:type="dxa"/>
            <w:vAlign w:val="center"/>
          </w:tcPr>
          <w:p w:rsidR="0003052F" w:rsidRPr="00E120A1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E120A1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E120A1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93" w:type="dxa"/>
          </w:tcPr>
          <w:p w:rsidR="0003052F" w:rsidRPr="00E120A1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3052F" w:rsidRPr="00E120A1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Газоснабжение</w:t>
            </w:r>
          </w:p>
        </w:tc>
      </w:tr>
      <w:tr w:rsidR="00946391" w:rsidRPr="00E120A1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D04FE6" w:rsidRDefault="00946391" w:rsidP="00E120A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ООО «Водоснабжение» от 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15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04.2025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Техническая возможность подключения сетей отсутствует.</w:t>
            </w:r>
          </w:p>
          <w:p w:rsidR="00946391" w:rsidRPr="00D04FE6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391" w:rsidRPr="00D04FE6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ООО «Водоотведение» 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от 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15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04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.202</w:t>
            </w:r>
            <w:r w:rsidR="00D20339"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Техническая возможность подключения сетей водоотведения отсутствует.</w:t>
            </w:r>
          </w:p>
          <w:p w:rsidR="00946391" w:rsidRPr="00D04FE6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6391" w:rsidRPr="00D04FE6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6391" w:rsidRPr="00D04FE6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Техническая возможность </w:t>
            </w:r>
            <w:r w:rsidRPr="00D04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D04FE6" w:rsidRDefault="00946391" w:rsidP="00D04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ОАО «Газпром Газораспределение </w:t>
            </w:r>
            <w:r w:rsidRPr="00D0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в г.Ярославле» № Т-</w:t>
            </w:r>
            <w:r w:rsidR="00D04FE6" w:rsidRPr="00D04FE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Pr="00D04F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04FE6" w:rsidRPr="00D04F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04F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4FE6" w:rsidRPr="00D04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4FE6">
              <w:rPr>
                <w:rFonts w:ascii="Times New Roman" w:hAnsi="Times New Roman" w:cs="Times New Roman"/>
                <w:sz w:val="24"/>
                <w:szCs w:val="24"/>
              </w:rPr>
              <w:t xml:space="preserve">.2025г. возможность технологического присоединения </w:t>
            </w:r>
            <w:r w:rsidR="00D04FE6" w:rsidRPr="00D04FE6"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  <w:r w:rsidRPr="00D04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3052F" w:rsidRPr="00E120A1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E120A1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Льготы по арендной плате в отношении земельного участка</w:t>
      </w:r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120A1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eastAsia="zh-CN"/>
          </w:rPr>
          <w:t>частью 4 статьи 18</w:t>
        </w:r>
      </w:hyperlink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12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отсутствуют.</w:t>
      </w:r>
    </w:p>
    <w:p w:rsidR="0003052F" w:rsidRPr="00E120A1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12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отсутствуют.</w:t>
      </w:r>
    </w:p>
    <w:p w:rsidR="0003052F" w:rsidRPr="00E120A1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12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: отсутствуют. </w:t>
      </w:r>
    </w:p>
    <w:p w:rsidR="0003052F" w:rsidRPr="00E120A1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E120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12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отсутствуют.</w:t>
      </w:r>
    </w:p>
    <w:p w:rsidR="0003052F" w:rsidRPr="00E120A1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E120A1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E1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Ярославская область, г.Тутаев, ул.Луначарского, д.105.</w:t>
      </w:r>
    </w:p>
    <w:p w:rsidR="0003052F" w:rsidRPr="00E120A1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52F" w:rsidRPr="00E120A1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5.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E120A1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E120A1" w:rsidRDefault="00C16DE5" w:rsidP="00C1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1479044</w:t>
            </w:r>
            <w:r w:rsidR="00946391"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0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46391"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03052F" w:rsidRPr="00E120A1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E03BB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B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НДС не облагается</w:t>
            </w:r>
          </w:p>
        </w:tc>
      </w:tr>
      <w:tr w:rsidR="0003052F" w:rsidRPr="00E120A1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03BB5" w:rsidRDefault="00C16DE5" w:rsidP="00C1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44371</w:t>
            </w:r>
            <w:r w:rsidR="00946391" w:rsidRPr="00E03B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  <w:r w:rsidR="00946391" w:rsidRPr="00E03B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03052F" w:rsidRPr="00E120A1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03BB5" w:rsidRDefault="00C16DE5" w:rsidP="00C1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295808</w:t>
            </w:r>
            <w:r w:rsidR="00946391" w:rsidRPr="00E03B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</w:t>
            </w:r>
            <w:r w:rsidR="00946391" w:rsidRPr="00E03B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коп.</w:t>
            </w:r>
          </w:p>
        </w:tc>
      </w:tr>
    </w:tbl>
    <w:p w:rsidR="0003052F" w:rsidRPr="00E120A1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*Начальная цена предмета аукциона устанавливается </w:t>
      </w:r>
      <w:r w:rsidRPr="00CD7F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ежегодной арендной платы</w:t>
      </w:r>
      <w:r w:rsidRPr="00E1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</w:t>
      </w:r>
      <w:r w:rsidRPr="00B1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15B99" w:rsidRPr="00B15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946391" w:rsidRPr="00B1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0F1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15B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% от кадастровой стоимости земельного участка)</w:t>
      </w:r>
      <w:r w:rsidRPr="00B15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52F" w:rsidRPr="00E120A1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52F" w:rsidRPr="00E120A1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6.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E120A1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CF2EAF" w:rsidRDefault="00CF2EA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17</w:t>
            </w:r>
            <w:r w:rsidR="003517E3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3052F" w:rsidRPr="00E120A1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CF2EAF" w:rsidRDefault="00CF2EA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17</w:t>
            </w:r>
            <w:r w:rsidR="003517E3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3052F" w:rsidRPr="00E120A1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CF2EAF" w:rsidRDefault="00CF2EA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03BB5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3052F" w:rsidRPr="00E120A1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CF2EAF" w:rsidRDefault="00CF2EA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517E3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517E3" w:rsidRPr="00CF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09:00</w:t>
            </w:r>
          </w:p>
        </w:tc>
      </w:tr>
      <w:tr w:rsidR="0003052F" w:rsidRPr="00E120A1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E120A1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E120A1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52F" w:rsidRPr="00E120A1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7. Порядок регистрации для участия в торгах: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проводятся в форме электронного аукциона в соответствии с Регламентом и Инструкциями Оператора электронной площадки и  являются открытыми по составу участников и по форме подачи заявок.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 электронная площадка «Сбербанк-АСТ», размещенная на сайте: http://utp.sberbank-ast.ru. 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участие в электронном аукционе, проводимом в соответствии с пунктами 13, 14, 20 и 25 статьи 39.12 Земельного кодекса Российской Федерации, оператором электронной площадки не взимается.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регистрации на электронной площадке: 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аукционе допускаются лица, указанные в настоящем извещении,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обеспечивается оператором ЭТП в соответствии с регламентом и Инструкциями в сроки, указанные в настоящем извещении.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документов, удостоверяющих личность заявителя (для граждан); 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 В случае отсутствия оснований для возврата заявки оператор ЭТП регистрирует Заявку в соответствии с Регламентом и инструкциями. При этом оператор ЭТП направляет заявителю уведомление о поступлении Заявки.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отозвать Заявку в любое время до установленных даты и времени окончания срока приема Заявок (пункт 6 извещения) в соответствии с Регламентом и инструкциями.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электронном аукционе претендент вносит задаток.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настоящем извещении.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регламентом.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счета указаны в структурированной форме извещения о проведении аукциона.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заявок: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Рассмотрение заявок и решение о признании претендентов участниками аукциона или об отказе  в допуске к участию в аукционе принимается аукционной комиссией, которая формируется организатором аукциона.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непоступление задатка на дату рассмотрения заявок на участие в аукционе;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проведения аукциона:  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сроки заключения договора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купли-продажи/аренды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проведения аукциона, внесение изменений в документацию об аукционе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CF2EAF" w:rsidRPr="00CF2EAF" w:rsidRDefault="00CF2EAF" w:rsidP="00CF2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E120A1" w:rsidRDefault="00CF2EAF" w:rsidP="00CF2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E120A1" w:rsidSect="006D6E0E">
      <w:headerReference w:type="default" r:id="rId1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E3" w:rsidRDefault="001A07E3" w:rsidP="0045387B">
      <w:pPr>
        <w:spacing w:after="0" w:line="240" w:lineRule="auto"/>
      </w:pPr>
      <w:r>
        <w:separator/>
      </w:r>
    </w:p>
  </w:endnote>
  <w:endnote w:type="continuationSeparator" w:id="1">
    <w:p w:rsidR="001A07E3" w:rsidRDefault="001A07E3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E3" w:rsidRDefault="001A07E3" w:rsidP="0045387B">
      <w:pPr>
        <w:spacing w:after="0" w:line="240" w:lineRule="auto"/>
      </w:pPr>
      <w:r>
        <w:separator/>
      </w:r>
    </w:p>
  </w:footnote>
  <w:footnote w:type="continuationSeparator" w:id="1">
    <w:p w:rsidR="001A07E3" w:rsidRDefault="001A07E3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1A07E3">
    <w:pPr>
      <w:pStyle w:val="a3"/>
      <w:jc w:val="center"/>
    </w:pPr>
  </w:p>
  <w:p w:rsidR="002E1ABA" w:rsidRDefault="001A07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46D1B"/>
    <w:rsid w:val="00072C95"/>
    <w:rsid w:val="00101F2E"/>
    <w:rsid w:val="00154AE0"/>
    <w:rsid w:val="00171962"/>
    <w:rsid w:val="001A07E3"/>
    <w:rsid w:val="001C258C"/>
    <w:rsid w:val="00313AFE"/>
    <w:rsid w:val="00350E17"/>
    <w:rsid w:val="003517E3"/>
    <w:rsid w:val="003A6A0D"/>
    <w:rsid w:val="00423A92"/>
    <w:rsid w:val="0045387B"/>
    <w:rsid w:val="00504F23"/>
    <w:rsid w:val="00533147"/>
    <w:rsid w:val="00586F95"/>
    <w:rsid w:val="00621145"/>
    <w:rsid w:val="006B49F4"/>
    <w:rsid w:val="006C4E8B"/>
    <w:rsid w:val="00714905"/>
    <w:rsid w:val="0074693C"/>
    <w:rsid w:val="00753797"/>
    <w:rsid w:val="00786BA2"/>
    <w:rsid w:val="007F36D1"/>
    <w:rsid w:val="00861DE3"/>
    <w:rsid w:val="008A7E20"/>
    <w:rsid w:val="00915D59"/>
    <w:rsid w:val="00946391"/>
    <w:rsid w:val="00A60F25"/>
    <w:rsid w:val="00AA5BFA"/>
    <w:rsid w:val="00B15B99"/>
    <w:rsid w:val="00BA6A50"/>
    <w:rsid w:val="00C16DE5"/>
    <w:rsid w:val="00CC02E0"/>
    <w:rsid w:val="00CD7F64"/>
    <w:rsid w:val="00CF2EAF"/>
    <w:rsid w:val="00D04FE6"/>
    <w:rsid w:val="00D20339"/>
    <w:rsid w:val="00DB0F18"/>
    <w:rsid w:val="00DE2645"/>
    <w:rsid w:val="00DF6FD7"/>
    <w:rsid w:val="00E03BB5"/>
    <w:rsid w:val="00E120A1"/>
    <w:rsid w:val="00E24A9B"/>
    <w:rsid w:val="00E7728F"/>
    <w:rsid w:val="00EB5291"/>
    <w:rsid w:val="00F0345A"/>
    <w:rsid w:val="00F07143"/>
    <w:rsid w:val="00F70E1C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154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archresult">
    <w:name w:val="search_result"/>
    <w:rsid w:val="00154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2025-04-03T08:00:00Z</cp:lastPrinted>
  <dcterms:created xsi:type="dcterms:W3CDTF">2025-07-09T07:15:00Z</dcterms:created>
  <dcterms:modified xsi:type="dcterms:W3CDTF">2025-07-09T07:15:00Z</dcterms:modified>
</cp:coreProperties>
</file>