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129F" w14:textId="77777777" w:rsidR="00313802" w:rsidRPr="00435A26" w:rsidRDefault="0031380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14:paraId="03671211" w14:textId="77777777" w:rsidR="00313802" w:rsidRPr="00435A26" w:rsidRDefault="003138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566F14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</w:p>
    <w:p w14:paraId="242CC16A" w14:textId="77777777"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04C28F" w14:textId="77777777"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77"/>
      <w:bookmarkEnd w:id="0"/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СВОДНЫЙ ОТЧЕТ</w:t>
      </w:r>
    </w:p>
    <w:p w14:paraId="25A8C859" w14:textId="77777777"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оценки регулирующего воздействия проекта</w:t>
      </w:r>
    </w:p>
    <w:p w14:paraId="571AB8C6" w14:textId="77777777" w:rsidR="000243B4" w:rsidRPr="00435A26" w:rsidRDefault="000243B4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2F77D8" w14:textId="10307A8B" w:rsidR="0067581B" w:rsidRPr="00435A26" w:rsidRDefault="0067581B" w:rsidP="0067581B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435A26">
        <w:rPr>
          <w:color w:val="000000" w:themeColor="text1"/>
          <w:sz w:val="28"/>
          <w:szCs w:val="28"/>
          <w:u w:val="single"/>
        </w:rPr>
        <w:t xml:space="preserve">Проект постановления Администрации Тутаевского муниципального округа </w:t>
      </w:r>
      <w:r w:rsidR="00C87FA1" w:rsidRPr="00435A26">
        <w:rPr>
          <w:color w:val="000000" w:themeColor="text1"/>
          <w:sz w:val="28"/>
          <w:szCs w:val="28"/>
          <w:u w:val="single"/>
        </w:rPr>
        <w:t xml:space="preserve">Ярославской области </w:t>
      </w:r>
      <w:r w:rsidRPr="00435A26">
        <w:rPr>
          <w:color w:val="000000" w:themeColor="text1"/>
          <w:sz w:val="28"/>
          <w:szCs w:val="28"/>
          <w:u w:val="single"/>
        </w:rPr>
        <w:t>«О</w:t>
      </w:r>
      <w:r w:rsidR="00C87FA1" w:rsidRPr="00435A26">
        <w:rPr>
          <w:color w:val="000000" w:themeColor="text1"/>
          <w:sz w:val="28"/>
          <w:szCs w:val="28"/>
          <w:u w:val="single"/>
        </w:rPr>
        <w:t xml:space="preserve"> мерах по пресечению самовольного занятия земельных участков на территории Тутаевского муниципального округа Ярославской области</w:t>
      </w:r>
      <w:r w:rsidRPr="00435A26">
        <w:rPr>
          <w:color w:val="000000" w:themeColor="text1"/>
          <w:sz w:val="28"/>
          <w:szCs w:val="28"/>
          <w:u w:val="single"/>
        </w:rPr>
        <w:t>»</w:t>
      </w:r>
    </w:p>
    <w:p w14:paraId="3315733C" w14:textId="77777777" w:rsidR="00F04F2E" w:rsidRPr="00435A26" w:rsidRDefault="00BA294F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  <w:r w:rsidRPr="00435A26">
        <w:rPr>
          <w:color w:val="000000" w:themeColor="text1"/>
          <w:sz w:val="26"/>
          <w:szCs w:val="26"/>
        </w:rPr>
        <w:t xml:space="preserve"> </w:t>
      </w:r>
      <w:r w:rsidR="00313802" w:rsidRPr="00435A26">
        <w:rPr>
          <w:color w:val="000000" w:themeColor="text1"/>
          <w:sz w:val="26"/>
          <w:szCs w:val="26"/>
        </w:rPr>
        <w:t>(указывается вид и наименование проекта муниципального</w:t>
      </w:r>
      <w:r w:rsidR="00A27469" w:rsidRPr="00435A26">
        <w:rPr>
          <w:color w:val="000000" w:themeColor="text1"/>
          <w:sz w:val="26"/>
          <w:szCs w:val="26"/>
        </w:rPr>
        <w:t xml:space="preserve"> </w:t>
      </w:r>
      <w:r w:rsidR="00313802" w:rsidRPr="00435A26">
        <w:rPr>
          <w:color w:val="000000" w:themeColor="text1"/>
          <w:sz w:val="26"/>
          <w:szCs w:val="26"/>
        </w:rPr>
        <w:t>нормативного правового акта)</w:t>
      </w:r>
    </w:p>
    <w:p w14:paraId="58F28F80" w14:textId="77777777" w:rsidR="00E36F51" w:rsidRPr="00435A26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4014"/>
        <w:gridCol w:w="4795"/>
      </w:tblGrid>
      <w:tr w:rsidR="00435A26" w:rsidRPr="00435A26" w14:paraId="527EE3F1" w14:textId="77777777" w:rsidTr="003A4545">
        <w:tc>
          <w:tcPr>
            <w:tcW w:w="0" w:type="auto"/>
            <w:gridSpan w:val="3"/>
          </w:tcPr>
          <w:p w14:paraId="6C77FF02" w14:textId="77777777" w:rsidR="00313802" w:rsidRPr="00435A26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Общие положения</w:t>
            </w:r>
          </w:p>
        </w:tc>
      </w:tr>
      <w:tr w:rsidR="00435A26" w:rsidRPr="00435A26" w14:paraId="3004A72B" w14:textId="77777777" w:rsidTr="003A4545">
        <w:tc>
          <w:tcPr>
            <w:tcW w:w="0" w:type="auto"/>
          </w:tcPr>
          <w:p w14:paraId="68FB63E6" w14:textId="77777777" w:rsidR="00313802" w:rsidRPr="00435A26" w:rsidRDefault="003138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14:paraId="0F34561C" w14:textId="77777777" w:rsidR="00313802" w:rsidRPr="00435A26" w:rsidRDefault="003138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65D824B2" w14:textId="01D54457" w:rsidR="00313802" w:rsidRPr="00435A26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контроля 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Администраци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Тутаевского муниципального </w:t>
            </w:r>
            <w:r w:rsidR="0067581B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округа</w:t>
            </w:r>
          </w:p>
        </w:tc>
      </w:tr>
      <w:tr w:rsidR="00435A26" w:rsidRPr="00435A26" w14:paraId="370E8660" w14:textId="77777777" w:rsidTr="003A4545">
        <w:tc>
          <w:tcPr>
            <w:tcW w:w="0" w:type="auto"/>
          </w:tcPr>
          <w:p w14:paraId="3D8DE2AE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14:paraId="073E00AF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70ACFA62" w14:textId="1E4E8169" w:rsidR="00E2196A" w:rsidRPr="00435A26" w:rsidRDefault="0067581B" w:rsidP="0067581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постановления Администрации Тутаевского муниципального округа </w:t>
            </w:r>
            <w:r w:rsidR="00C87FA1" w:rsidRPr="00435A26">
              <w:rPr>
                <w:color w:val="000000" w:themeColor="text1"/>
                <w:sz w:val="28"/>
                <w:szCs w:val="28"/>
              </w:rPr>
              <w:t xml:space="preserve">Ярославской области </w:t>
            </w:r>
            <w:r w:rsidRPr="00435A26">
              <w:rPr>
                <w:color w:val="000000" w:themeColor="text1"/>
                <w:sz w:val="28"/>
                <w:szCs w:val="28"/>
              </w:rPr>
              <w:t>«</w:t>
            </w:r>
            <w:r w:rsidR="00C87FA1" w:rsidRPr="00435A26">
              <w:rPr>
                <w:color w:val="000000" w:themeColor="text1"/>
                <w:sz w:val="28"/>
                <w:szCs w:val="28"/>
              </w:rPr>
              <w:t xml:space="preserve">О мерах по пресечению самовольного занятия земельных участков на территории </w:t>
            </w:r>
            <w:r w:rsidRPr="00435A26">
              <w:rPr>
                <w:color w:val="000000" w:themeColor="text1"/>
                <w:sz w:val="28"/>
                <w:szCs w:val="28"/>
              </w:rPr>
              <w:t>Тутаевского муниципального округа»</w:t>
            </w:r>
          </w:p>
        </w:tc>
      </w:tr>
      <w:tr w:rsidR="00435A26" w:rsidRPr="00435A26" w14:paraId="6E797B75" w14:textId="77777777" w:rsidTr="003A4545">
        <w:tc>
          <w:tcPr>
            <w:tcW w:w="0" w:type="auto"/>
          </w:tcPr>
          <w:p w14:paraId="4345E59E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14:paraId="6B86C8F2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03093F3E" w14:textId="77777777" w:rsidR="00C26220" w:rsidRPr="00435A26" w:rsidRDefault="0067581B" w:rsidP="000243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35A26">
              <w:rPr>
                <w:rFonts w:eastAsia="Calibri"/>
                <w:color w:val="000000" w:themeColor="text1"/>
                <w:sz w:val="28"/>
                <w:szCs w:val="28"/>
              </w:rPr>
              <w:t xml:space="preserve">В целях </w:t>
            </w:r>
            <w:r w:rsidR="00F6445C" w:rsidRPr="00435A26">
              <w:rPr>
                <w:rFonts w:eastAsia="Calibri"/>
                <w:color w:val="000000" w:themeColor="text1"/>
                <w:sz w:val="28"/>
                <w:szCs w:val="28"/>
              </w:rPr>
              <w:t>предупреждения, выявления и пресечения фактов самовольного занятия земельных участков на территории Тутаевского муниципального округа, а также применения мер муниципального реагирования в случае установления</w:t>
            </w:r>
          </w:p>
          <w:p w14:paraId="2CD7D0FE" w14:textId="623E549C" w:rsidR="00E2196A" w:rsidRPr="00435A26" w:rsidRDefault="00C30D38" w:rsidP="000243B4">
            <w:pPr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rFonts w:eastAsia="Calibri"/>
                <w:color w:val="000000" w:themeColor="text1"/>
                <w:sz w:val="28"/>
                <w:szCs w:val="28"/>
              </w:rPr>
              <w:t>н</w:t>
            </w:r>
            <w:r w:rsidR="00447F89" w:rsidRPr="00435A26">
              <w:rPr>
                <w:rFonts w:eastAsia="Calibri"/>
                <w:color w:val="000000" w:themeColor="text1"/>
                <w:sz w:val="28"/>
                <w:szCs w:val="28"/>
              </w:rPr>
              <w:t>арушений</w:t>
            </w:r>
            <w:r w:rsidRPr="00435A26">
              <w:rPr>
                <w:color w:val="000000" w:themeColor="text1"/>
                <w:sz w:val="28"/>
              </w:rPr>
              <w:t>, вовлечения земельных участков в законный оборот и увеличению поступления доходов в городской бюджет.</w:t>
            </w:r>
          </w:p>
        </w:tc>
      </w:tr>
      <w:tr w:rsidR="00435A26" w:rsidRPr="00435A26" w14:paraId="3311D004" w14:textId="77777777" w:rsidTr="003A4545">
        <w:tc>
          <w:tcPr>
            <w:tcW w:w="0" w:type="auto"/>
          </w:tcPr>
          <w:p w14:paraId="458239E1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14:paraId="2FF348AD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2337E9D2" w14:textId="1BABFC43" w:rsidR="00E2196A" w:rsidRPr="00435A26" w:rsidRDefault="00C30D38" w:rsidP="00BA294F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Наличие</w:t>
            </w:r>
            <w:r w:rsidR="00447F89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нарушени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й</w:t>
            </w:r>
            <w:r w:rsidR="00447F89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норм земельного законодательства, связанны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х</w:t>
            </w:r>
            <w:r w:rsidR="00447F89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с самовольным занятием земельных участков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, в т.ч. нахождение на земельных участках бесхозных объектов, подлежащих демонтажу или утилизации </w:t>
            </w:r>
          </w:p>
        </w:tc>
      </w:tr>
      <w:tr w:rsidR="00435A26" w:rsidRPr="00435A26" w14:paraId="15163107" w14:textId="77777777" w:rsidTr="003A4545">
        <w:tc>
          <w:tcPr>
            <w:tcW w:w="0" w:type="auto"/>
          </w:tcPr>
          <w:p w14:paraId="4D66022B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14:paraId="5D6E07DB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14:paraId="61304D66" w14:textId="2F25C0F5" w:rsidR="00E2196A" w:rsidRPr="00435A26" w:rsidRDefault="00B101B2" w:rsidP="006758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сентября 2026</w:t>
            </w:r>
            <w:r w:rsidR="00E36F5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переходный период не требуется</w:t>
            </w:r>
          </w:p>
        </w:tc>
      </w:tr>
      <w:tr w:rsidR="00435A26" w:rsidRPr="00435A26" w14:paraId="70E775DC" w14:textId="77777777" w:rsidTr="003A4545">
        <w:tc>
          <w:tcPr>
            <w:tcW w:w="0" w:type="auto"/>
          </w:tcPr>
          <w:p w14:paraId="0F638D66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14:paraId="793429D7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14:paraId="61360840" w14:textId="30079D2E" w:rsidR="00E2196A" w:rsidRPr="00435A26" w:rsidRDefault="00E2196A" w:rsidP="0067581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</w:t>
            </w:r>
            <w:r w:rsidR="00E36F51" w:rsidRPr="00435A26">
              <w:rPr>
                <w:color w:val="000000" w:themeColor="text1"/>
                <w:sz w:val="28"/>
                <w:szCs w:val="28"/>
              </w:rPr>
              <w:t>постановления Администрации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Тутаев</w:t>
            </w:r>
            <w:r w:rsidR="00F04F2E" w:rsidRPr="00435A26">
              <w:rPr>
                <w:color w:val="000000" w:themeColor="text1"/>
                <w:sz w:val="28"/>
                <w:szCs w:val="28"/>
              </w:rPr>
              <w:t xml:space="preserve">ского 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67581B" w:rsidRPr="00435A26">
              <w:rPr>
                <w:color w:val="000000" w:themeColor="text1"/>
                <w:sz w:val="28"/>
                <w:szCs w:val="28"/>
              </w:rPr>
              <w:t>округа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разработан на основе требований действующего законодательства и учитывает все изменения </w:t>
            </w:r>
          </w:p>
        </w:tc>
      </w:tr>
      <w:tr w:rsidR="00435A26" w:rsidRPr="00435A26" w14:paraId="2E9CA98C" w14:textId="77777777" w:rsidTr="003A4545">
        <w:tc>
          <w:tcPr>
            <w:tcW w:w="0" w:type="auto"/>
          </w:tcPr>
          <w:p w14:paraId="7AA1675D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14:paraId="1D075119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14:paraId="3CBEFEBA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14:paraId="063F0CD3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14:paraId="3BDBB9AB" w14:textId="77777777" w:rsidR="00E2196A" w:rsidRPr="003100AB" w:rsidRDefault="00E2196A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адрес:</w:t>
            </w:r>
          </w:p>
          <w:p w14:paraId="7790223C" w14:textId="7A04A229" w:rsidR="003100AB" w:rsidRPr="003100AB" w:rsidRDefault="003100AB" w:rsidP="002815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100A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https://admtmr.ru/city/otsenka-reguliruyushchego-vozdeystviya-proektov-normativnykh-pravovykh-aktov-tutaevskogo-munitsipaln.php</w:t>
              </w:r>
            </w:hyperlink>
          </w:p>
          <w:p w14:paraId="776EA5BE" w14:textId="484E1BDF" w:rsidR="00E2196A" w:rsidRPr="003100AB" w:rsidRDefault="00BA294F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Предложения принимались</w:t>
            </w:r>
            <w:r w:rsidR="0029543C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81B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по 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</w:t>
            </w: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включительно</w:t>
            </w:r>
          </w:p>
          <w:p w14:paraId="6AD954F2" w14:textId="77777777" w:rsidR="00E2196A" w:rsidRPr="003100AB" w:rsidRDefault="00E2196A" w:rsidP="00D71B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5A26" w:rsidRPr="00435A26" w14:paraId="52D7EEE8" w14:textId="77777777" w:rsidTr="003A4545">
        <w:tc>
          <w:tcPr>
            <w:tcW w:w="0" w:type="auto"/>
            <w:gridSpan w:val="3"/>
          </w:tcPr>
          <w:p w14:paraId="4B212D69" w14:textId="77777777" w:rsidR="00E2196A" w:rsidRPr="00435A26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Информация о предлагаемом регулировании</w:t>
            </w:r>
          </w:p>
        </w:tc>
      </w:tr>
      <w:tr w:rsidR="00435A26" w:rsidRPr="00435A26" w14:paraId="1AA4F711" w14:textId="77777777" w:rsidTr="00214C4B">
        <w:trPr>
          <w:trHeight w:val="1321"/>
        </w:trPr>
        <w:tc>
          <w:tcPr>
            <w:tcW w:w="0" w:type="auto"/>
          </w:tcPr>
          <w:p w14:paraId="40F52B59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14:paraId="188CD2D8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14:paraId="13924EAF" w14:textId="77777777" w:rsidR="00927E65" w:rsidRPr="00435A26" w:rsidRDefault="00927E65" w:rsidP="00927E65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Создание комиссии по пресечению самовольного занятия земельных участков на территории Тутаевского муниципального округа Ярославской области.</w:t>
            </w:r>
          </w:p>
          <w:p w14:paraId="78D96289" w14:textId="1E84712E" w:rsidR="00DB420C" w:rsidRPr="00435A26" w:rsidRDefault="00DB420C" w:rsidP="00DB420C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 xml:space="preserve">Демонтаж и перемещение самовольно размещенных объектов, не </w:t>
            </w:r>
            <w:r w:rsidRPr="00435A26">
              <w:rPr>
                <w:color w:val="000000" w:themeColor="text1"/>
                <w:sz w:val="28"/>
              </w:rPr>
              <w:lastRenderedPageBreak/>
              <w:t>являющихся объектами капитального строительства</w:t>
            </w:r>
            <w:r w:rsidR="00927E65" w:rsidRPr="00435A26">
              <w:rPr>
                <w:color w:val="000000" w:themeColor="text1"/>
                <w:sz w:val="28"/>
              </w:rPr>
              <w:t>.</w:t>
            </w:r>
          </w:p>
          <w:p w14:paraId="6D817651" w14:textId="6124A2CF" w:rsidR="00E2196A" w:rsidRPr="00435A26" w:rsidRDefault="00DB420C" w:rsidP="007427BC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Утвер</w:t>
            </w:r>
            <w:r w:rsidR="00927E65" w:rsidRPr="00435A26">
              <w:rPr>
                <w:color w:val="000000" w:themeColor="text1"/>
                <w:sz w:val="28"/>
              </w:rPr>
              <w:t>ждение</w:t>
            </w:r>
            <w:r w:rsidRPr="00435A26">
              <w:rPr>
                <w:color w:val="000000" w:themeColor="text1"/>
                <w:sz w:val="28"/>
              </w:rPr>
              <w:t xml:space="preserve"> Поряд</w:t>
            </w:r>
            <w:r w:rsidR="00927E65" w:rsidRPr="00435A26">
              <w:rPr>
                <w:color w:val="000000" w:themeColor="text1"/>
                <w:sz w:val="28"/>
              </w:rPr>
              <w:t>ка</w:t>
            </w:r>
            <w:r w:rsidRPr="00435A26">
              <w:rPr>
                <w:color w:val="000000" w:themeColor="text1"/>
                <w:sz w:val="28"/>
              </w:rPr>
              <w:t xml:space="preserve"> выявления, перемещения, временного хранения брошенных, в том числе разукомплектованных, транспортных средств, размещенных на территориях общего пользования, и помещения их на хранение</w:t>
            </w:r>
          </w:p>
        </w:tc>
      </w:tr>
      <w:tr w:rsidR="00435A26" w:rsidRPr="00435A26" w14:paraId="41546B84" w14:textId="77777777" w:rsidTr="003A4545">
        <w:tc>
          <w:tcPr>
            <w:tcW w:w="0" w:type="auto"/>
          </w:tcPr>
          <w:p w14:paraId="45A7018B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2.2</w:t>
            </w:r>
          </w:p>
        </w:tc>
        <w:tc>
          <w:tcPr>
            <w:tcW w:w="0" w:type="auto"/>
          </w:tcPr>
          <w:p w14:paraId="32F31E71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14:paraId="33E3B2F0" w14:textId="4864042C" w:rsidR="00E2196A" w:rsidRPr="00435A26" w:rsidRDefault="00FA672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Претензионные вопросы о правомерности применения мер муниципального реагирования со стороны лиц, самовольно занявших земельные участки</w:t>
            </w:r>
          </w:p>
        </w:tc>
      </w:tr>
      <w:tr w:rsidR="00435A26" w:rsidRPr="00435A26" w14:paraId="241E6B08" w14:textId="77777777" w:rsidTr="003A4545">
        <w:tc>
          <w:tcPr>
            <w:tcW w:w="0" w:type="auto"/>
          </w:tcPr>
          <w:p w14:paraId="5EAD87FC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14:paraId="4246B101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14:paraId="2D0140C4" w14:textId="18A03B21" w:rsidR="00E2196A" w:rsidRPr="00435A26" w:rsidRDefault="002E72E5" w:rsidP="002C1A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Физические и юридические лица.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Субъекты предпринимательской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иной экономической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осуществляющие деятельность на территории Тутаевского муниципального округа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35A26" w:rsidRPr="00435A26" w14:paraId="374B3BAD" w14:textId="77777777" w:rsidTr="003A4545">
        <w:tc>
          <w:tcPr>
            <w:tcW w:w="0" w:type="auto"/>
          </w:tcPr>
          <w:p w14:paraId="3DFCE4DA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14:paraId="29E45BF5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14:paraId="38A89AE6" w14:textId="698F9D37" w:rsidR="00E2196A" w:rsidRPr="00435A26" w:rsidRDefault="00214C4B" w:rsidP="000243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Необходимость устранения имеющихся нарушений, связанных с самовольным занятием земельных участков (при наличии таковых)</w:t>
            </w:r>
            <w:r w:rsidR="00224FFD"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, исполнение предписанных норм и правил</w:t>
            </w:r>
          </w:p>
        </w:tc>
      </w:tr>
      <w:tr w:rsidR="00435A26" w:rsidRPr="00435A26" w14:paraId="794D5025" w14:textId="77777777" w:rsidTr="003A4545">
        <w:tc>
          <w:tcPr>
            <w:tcW w:w="0" w:type="auto"/>
          </w:tcPr>
          <w:p w14:paraId="5C3D38AF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14:paraId="33B46D70" w14:textId="77777777" w:rsidR="00E2196A" w:rsidRPr="00435A26" w:rsidRDefault="00E2196A" w:rsidP="002441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14:paraId="5A46A634" w14:textId="1380C24A" w:rsidR="00132711" w:rsidRPr="00435A26" w:rsidRDefault="00132711" w:rsidP="00132711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 xml:space="preserve">Создание комиссии по пресечению самовольного занятия земельных участков на территории Тутаевского муниципального округа Ярославской области, принятие </w:t>
            </w:r>
            <w:r w:rsidR="00A731B8" w:rsidRPr="00435A26">
              <w:rPr>
                <w:color w:val="000000" w:themeColor="text1"/>
                <w:sz w:val="28"/>
              </w:rPr>
              <w:t>соответствующих решений</w:t>
            </w:r>
            <w:r w:rsidR="00655465" w:rsidRPr="00435A26">
              <w:rPr>
                <w:color w:val="000000" w:themeColor="text1"/>
                <w:sz w:val="28"/>
              </w:rPr>
              <w:t>, разработка проектов нормативных актов об освобождении самовольно занятых земельных участков, демонтаже неправомерно размещенных некапитальных строений, сооружений, переносе иных движимых объектов</w:t>
            </w:r>
          </w:p>
          <w:p w14:paraId="2BD72FB0" w14:textId="52888441" w:rsidR="00E2196A" w:rsidRPr="00435A26" w:rsidRDefault="00E2196A" w:rsidP="00E36F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435A26" w:rsidRPr="00435A26" w14:paraId="7F4053A8" w14:textId="77777777" w:rsidTr="003A4545">
        <w:tc>
          <w:tcPr>
            <w:tcW w:w="0" w:type="auto"/>
          </w:tcPr>
          <w:p w14:paraId="26089A26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2.6</w:t>
            </w:r>
          </w:p>
        </w:tc>
        <w:tc>
          <w:tcPr>
            <w:tcW w:w="0" w:type="auto"/>
          </w:tcPr>
          <w:p w14:paraId="330E5D47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14:paraId="491D2C7B" w14:textId="147DCD4C" w:rsidR="00E2196A" w:rsidRPr="00435A26" w:rsidRDefault="00A731B8" w:rsidP="000C2BD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Предполагаются расходы связанные с н</w:t>
            </w:r>
            <w:r w:rsidRPr="00435A26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еобходимостью устранения имеющихся нарушений, связанных с самовольным занятием земельных участков (при наличии таковых) </w:t>
            </w:r>
          </w:p>
        </w:tc>
      </w:tr>
      <w:tr w:rsidR="00435A26" w:rsidRPr="00435A26" w14:paraId="7E081AC8" w14:textId="77777777" w:rsidTr="003A4545">
        <w:tc>
          <w:tcPr>
            <w:tcW w:w="0" w:type="auto"/>
          </w:tcPr>
          <w:p w14:paraId="61D6403A" w14:textId="77777777"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0" w:type="auto"/>
          </w:tcPr>
          <w:p w14:paraId="736AD5FF" w14:textId="77777777"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14:paraId="4B6A0047" w14:textId="77777777" w:rsidR="00FD04BF" w:rsidRPr="00435A26" w:rsidRDefault="00AC6BA7" w:rsidP="00A731B8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Предполагаются</w:t>
            </w:r>
            <w:r w:rsidR="00FD04BF" w:rsidRPr="00435A26">
              <w:rPr>
                <w:color w:val="000000" w:themeColor="text1"/>
                <w:sz w:val="28"/>
              </w:rPr>
              <w:t>:</w:t>
            </w:r>
          </w:p>
          <w:p w14:paraId="685BCF6D" w14:textId="2C14D0ED" w:rsidR="00A731B8" w:rsidRPr="00435A26" w:rsidRDefault="00FD04BF" w:rsidP="00A731B8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-</w:t>
            </w:r>
            <w:r w:rsidR="00AC6BA7" w:rsidRPr="00435A26">
              <w:rPr>
                <w:color w:val="000000" w:themeColor="text1"/>
                <w:sz w:val="28"/>
              </w:rPr>
              <w:t xml:space="preserve"> расходы, связанные с</w:t>
            </w:r>
          </w:p>
          <w:p w14:paraId="104596FF" w14:textId="5B19B8F0" w:rsidR="00A731B8" w:rsidRPr="00435A26" w:rsidRDefault="00AC6BA7" w:rsidP="00AC6BA7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демонтажем</w:t>
            </w:r>
            <w:r w:rsidR="00A731B8" w:rsidRPr="00435A26">
              <w:rPr>
                <w:color w:val="000000" w:themeColor="text1"/>
                <w:sz w:val="28"/>
              </w:rPr>
              <w:t xml:space="preserve"> и перемещение</w:t>
            </w:r>
            <w:r w:rsidRPr="00435A26">
              <w:rPr>
                <w:color w:val="000000" w:themeColor="text1"/>
                <w:sz w:val="28"/>
              </w:rPr>
              <w:t>м</w:t>
            </w:r>
            <w:r w:rsidR="00A731B8" w:rsidRPr="00435A26">
              <w:rPr>
                <w:color w:val="000000" w:themeColor="text1"/>
                <w:sz w:val="28"/>
              </w:rPr>
              <w:t xml:space="preserve"> самовольно размещенных объектов</w:t>
            </w:r>
            <w:r w:rsidRPr="00435A26">
              <w:rPr>
                <w:color w:val="000000" w:themeColor="text1"/>
                <w:sz w:val="28"/>
              </w:rPr>
              <w:t xml:space="preserve">, брошенных, в том числе разукомплектованных, транспортных средств </w:t>
            </w:r>
            <w:r w:rsidR="00A731B8" w:rsidRPr="00435A26">
              <w:rPr>
                <w:color w:val="000000" w:themeColor="text1"/>
                <w:sz w:val="28"/>
              </w:rPr>
              <w:t>их</w:t>
            </w:r>
            <w:r w:rsidRPr="00435A26">
              <w:rPr>
                <w:color w:val="000000" w:themeColor="text1"/>
                <w:sz w:val="28"/>
              </w:rPr>
              <w:t xml:space="preserve"> перемещением</w:t>
            </w:r>
            <w:r w:rsidR="00571555" w:rsidRPr="00435A26">
              <w:rPr>
                <w:color w:val="000000" w:themeColor="text1"/>
                <w:sz w:val="28"/>
              </w:rPr>
              <w:t>,</w:t>
            </w:r>
            <w:r w:rsidR="00A731B8" w:rsidRPr="00435A26">
              <w:rPr>
                <w:color w:val="000000" w:themeColor="text1"/>
                <w:sz w:val="28"/>
              </w:rPr>
              <w:t xml:space="preserve"> хранение</w:t>
            </w:r>
            <w:r w:rsidRPr="00435A26">
              <w:rPr>
                <w:color w:val="000000" w:themeColor="text1"/>
                <w:sz w:val="28"/>
              </w:rPr>
              <w:t>м</w:t>
            </w:r>
            <w:r w:rsidR="00571555" w:rsidRPr="00435A26">
              <w:rPr>
                <w:color w:val="000000" w:themeColor="text1"/>
                <w:sz w:val="28"/>
              </w:rPr>
              <w:t xml:space="preserve"> и утилизацией</w:t>
            </w:r>
            <w:r w:rsidR="00FD04BF" w:rsidRPr="00435A26">
              <w:rPr>
                <w:color w:val="000000" w:themeColor="text1"/>
                <w:sz w:val="28"/>
              </w:rPr>
              <w:t>;</w:t>
            </w:r>
          </w:p>
          <w:p w14:paraId="64A08B2D" w14:textId="361F71F0" w:rsidR="00FD04BF" w:rsidRPr="00435A26" w:rsidRDefault="00FD04BF" w:rsidP="0009476E">
            <w:pPr>
              <w:jc w:val="both"/>
              <w:rPr>
                <w:color w:val="000000" w:themeColor="text1"/>
                <w:sz w:val="28"/>
              </w:rPr>
            </w:pPr>
            <w:r w:rsidRPr="00435A26">
              <w:rPr>
                <w:color w:val="000000" w:themeColor="text1"/>
                <w:sz w:val="28"/>
              </w:rPr>
              <w:t>- поступления в виде оплаты расходов, связанных с освобождением самовольно занятых земельных участков</w:t>
            </w:r>
            <w:r w:rsidR="00A556AE" w:rsidRPr="00435A26">
              <w:rPr>
                <w:color w:val="000000" w:themeColor="text1"/>
                <w:sz w:val="28"/>
              </w:rPr>
              <w:t>, реализация бесхозяйного имущества для погашения расходов на демонтаж, эвакуацию и хранение объекта.</w:t>
            </w:r>
          </w:p>
        </w:tc>
      </w:tr>
      <w:tr w:rsidR="00435A26" w:rsidRPr="00435A26" w14:paraId="5EF8C260" w14:textId="77777777" w:rsidTr="003A4545">
        <w:tc>
          <w:tcPr>
            <w:tcW w:w="0" w:type="auto"/>
          </w:tcPr>
          <w:p w14:paraId="17F857E8" w14:textId="77777777"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14:paraId="2D510C77" w14:textId="77777777"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14:paraId="1957F904" w14:textId="06862785" w:rsidR="00A731B8" w:rsidRPr="00435A26" w:rsidRDefault="00435494" w:rsidP="00A731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Создание комиссии по пресечению самовольного занятия земельных участков</w:t>
            </w:r>
            <w:r w:rsidR="0009476E"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  <w:r w:rsidR="00AC6BA7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положительное разрешение вопросов, связанных с демонтажем, перемещением и последующим хранением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</w:rPr>
              <w:t>неправомерно размещенных некапитальных строений, сооружений, иных движимых объектов на самовольно занятых земельных участках</w:t>
            </w:r>
          </w:p>
        </w:tc>
      </w:tr>
      <w:tr w:rsidR="00A731B8" w:rsidRPr="00435A26" w14:paraId="6BF6705D" w14:textId="77777777" w:rsidTr="003A4545">
        <w:tc>
          <w:tcPr>
            <w:tcW w:w="0" w:type="auto"/>
          </w:tcPr>
          <w:p w14:paraId="0845D85C" w14:textId="77777777"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14:paraId="7A8A0215" w14:textId="77777777"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14:paraId="1B7ED678" w14:textId="6070D871" w:rsidR="00A731B8" w:rsidRPr="00435A26" w:rsidRDefault="00A731B8" w:rsidP="00A731B8">
            <w:pPr>
              <w:widowControl w:val="0"/>
              <w:suppressAutoHyphens/>
              <w:contextualSpacing/>
              <w:jc w:val="both"/>
              <w:rPr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Самовольное занятие земельного участка или части земельного участка, в том числе использование земельного участка лицом, не имеющим </w:t>
            </w: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lastRenderedPageBreak/>
              <w:t>предусмотренных законодательством Российской Федерации прав</w:t>
            </w:r>
            <w:r w:rsidR="00435A26"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>на указанный земельный участок</w:t>
            </w:r>
            <w:proofErr w:type="gramEnd"/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 является нарушением закона.</w:t>
            </w:r>
            <w:r w:rsidR="00435A26"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 </w:t>
            </w:r>
            <w:r w:rsidRPr="00435A26">
              <w:rPr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Под самовольным занятием земель понимается пользование чужим земельным участком при отсутствии воли собственника этого участка (иного управомоченного им лица), выраженной в установленном порядке, что в определенных ситуациях не позволяет использовать неправомерно занятый земельный участок на законных основаниях или же создает опасность, а также негативным образом влияет на решение вопросов, связанных с благоустройством округа. </w:t>
            </w:r>
          </w:p>
        </w:tc>
      </w:tr>
    </w:tbl>
    <w:p w14:paraId="68419785" w14:textId="77777777"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EAD59" w14:textId="19BE7869" w:rsidR="006341A2" w:rsidRPr="00435A26" w:rsidRDefault="00313802" w:rsidP="001E2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  <w:r w:rsidR="00435A26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приложений (предложения от заинтересованных лиц в установленный срок не поступили).</w:t>
      </w:r>
    </w:p>
    <w:sectPr w:rsidR="006341A2" w:rsidRPr="00435A26" w:rsidSect="007A64B5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6458" w14:textId="77777777" w:rsidR="00A84445" w:rsidRDefault="00A84445" w:rsidP="008429E2">
      <w:r>
        <w:separator/>
      </w:r>
    </w:p>
  </w:endnote>
  <w:endnote w:type="continuationSeparator" w:id="0">
    <w:p w14:paraId="58350237" w14:textId="77777777" w:rsidR="00A84445" w:rsidRDefault="00A84445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3991" w14:textId="77777777" w:rsidR="00A84445" w:rsidRDefault="00A84445" w:rsidP="008429E2">
      <w:r>
        <w:separator/>
      </w:r>
    </w:p>
  </w:footnote>
  <w:footnote w:type="continuationSeparator" w:id="0">
    <w:p w14:paraId="16D1A460" w14:textId="77777777" w:rsidR="00A84445" w:rsidRDefault="00A84445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851592"/>
      <w:docPartObj>
        <w:docPartGallery w:val="Page Numbers (Top of Page)"/>
        <w:docPartUnique/>
      </w:docPartObj>
    </w:sdtPr>
    <w:sdtEndPr/>
    <w:sdtContent>
      <w:p w14:paraId="69FC5A9C" w14:textId="77777777" w:rsidR="007A64B5" w:rsidRDefault="002E1042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D71B71">
          <w:rPr>
            <w:noProof/>
          </w:rPr>
          <w:t>4</w:t>
        </w:r>
        <w:r>
          <w:fldChar w:fldCharType="end"/>
        </w:r>
      </w:p>
    </w:sdtContent>
  </w:sdt>
  <w:p w14:paraId="112CFD26" w14:textId="77777777"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02"/>
    <w:rsid w:val="00005001"/>
    <w:rsid w:val="00012FBE"/>
    <w:rsid w:val="00014C50"/>
    <w:rsid w:val="000243B4"/>
    <w:rsid w:val="00027A24"/>
    <w:rsid w:val="000658A9"/>
    <w:rsid w:val="0006641E"/>
    <w:rsid w:val="0007549F"/>
    <w:rsid w:val="00075B86"/>
    <w:rsid w:val="0009476E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377B"/>
    <w:rsid w:val="00117BB1"/>
    <w:rsid w:val="00125EED"/>
    <w:rsid w:val="00132711"/>
    <w:rsid w:val="00137D8C"/>
    <w:rsid w:val="001448DE"/>
    <w:rsid w:val="00171D66"/>
    <w:rsid w:val="001B3438"/>
    <w:rsid w:val="001C4CC8"/>
    <w:rsid w:val="001E23E6"/>
    <w:rsid w:val="00214C4B"/>
    <w:rsid w:val="00222640"/>
    <w:rsid w:val="00224FFD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4423"/>
    <w:rsid w:val="002C65A7"/>
    <w:rsid w:val="002E1042"/>
    <w:rsid w:val="002E1C65"/>
    <w:rsid w:val="002E7075"/>
    <w:rsid w:val="002E72E5"/>
    <w:rsid w:val="002F4E41"/>
    <w:rsid w:val="00300E28"/>
    <w:rsid w:val="00303DF0"/>
    <w:rsid w:val="003100AB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35494"/>
    <w:rsid w:val="00435A26"/>
    <w:rsid w:val="00447F89"/>
    <w:rsid w:val="00455928"/>
    <w:rsid w:val="004659CA"/>
    <w:rsid w:val="00467AAE"/>
    <w:rsid w:val="004744AB"/>
    <w:rsid w:val="004765D4"/>
    <w:rsid w:val="00481A42"/>
    <w:rsid w:val="004832D9"/>
    <w:rsid w:val="00483A66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1555"/>
    <w:rsid w:val="005742A9"/>
    <w:rsid w:val="005A6C30"/>
    <w:rsid w:val="005C372E"/>
    <w:rsid w:val="005C4BFE"/>
    <w:rsid w:val="005D1648"/>
    <w:rsid w:val="005D5CCF"/>
    <w:rsid w:val="005D7816"/>
    <w:rsid w:val="005F4F9D"/>
    <w:rsid w:val="00612363"/>
    <w:rsid w:val="00614281"/>
    <w:rsid w:val="00626BDE"/>
    <w:rsid w:val="006341A2"/>
    <w:rsid w:val="0063476F"/>
    <w:rsid w:val="00641CFC"/>
    <w:rsid w:val="00650BA1"/>
    <w:rsid w:val="00655465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B03E7"/>
    <w:rsid w:val="006C1447"/>
    <w:rsid w:val="006E3A3B"/>
    <w:rsid w:val="00700BAE"/>
    <w:rsid w:val="00707E52"/>
    <w:rsid w:val="00714F71"/>
    <w:rsid w:val="007205DA"/>
    <w:rsid w:val="007218E4"/>
    <w:rsid w:val="007354C8"/>
    <w:rsid w:val="00736545"/>
    <w:rsid w:val="007427BC"/>
    <w:rsid w:val="007443D7"/>
    <w:rsid w:val="00746D05"/>
    <w:rsid w:val="00751674"/>
    <w:rsid w:val="0076137D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8F1163"/>
    <w:rsid w:val="008F1BD9"/>
    <w:rsid w:val="009057E7"/>
    <w:rsid w:val="00906D3F"/>
    <w:rsid w:val="0091582A"/>
    <w:rsid w:val="00927E2A"/>
    <w:rsid w:val="00927E65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556AE"/>
    <w:rsid w:val="00A61CFF"/>
    <w:rsid w:val="00A731B8"/>
    <w:rsid w:val="00A74057"/>
    <w:rsid w:val="00A84445"/>
    <w:rsid w:val="00A8692C"/>
    <w:rsid w:val="00A90E5A"/>
    <w:rsid w:val="00A9242F"/>
    <w:rsid w:val="00AA36A9"/>
    <w:rsid w:val="00AA6FA0"/>
    <w:rsid w:val="00AB24E8"/>
    <w:rsid w:val="00AB2BA2"/>
    <w:rsid w:val="00AC3297"/>
    <w:rsid w:val="00AC6BA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01B2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419"/>
    <w:rsid w:val="00B707A0"/>
    <w:rsid w:val="00B77D2B"/>
    <w:rsid w:val="00B807F8"/>
    <w:rsid w:val="00B86F66"/>
    <w:rsid w:val="00B92A88"/>
    <w:rsid w:val="00BA294F"/>
    <w:rsid w:val="00BD5CAB"/>
    <w:rsid w:val="00BE015D"/>
    <w:rsid w:val="00BE1F2C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26220"/>
    <w:rsid w:val="00C30D38"/>
    <w:rsid w:val="00C52F1F"/>
    <w:rsid w:val="00C575AD"/>
    <w:rsid w:val="00C652EA"/>
    <w:rsid w:val="00C73DFB"/>
    <w:rsid w:val="00C74E8E"/>
    <w:rsid w:val="00C8222F"/>
    <w:rsid w:val="00C87FA1"/>
    <w:rsid w:val="00CA3C87"/>
    <w:rsid w:val="00CC5D3C"/>
    <w:rsid w:val="00CE0762"/>
    <w:rsid w:val="00D03025"/>
    <w:rsid w:val="00D15811"/>
    <w:rsid w:val="00D20561"/>
    <w:rsid w:val="00D47406"/>
    <w:rsid w:val="00D47DF5"/>
    <w:rsid w:val="00D71B71"/>
    <w:rsid w:val="00D75029"/>
    <w:rsid w:val="00D759EE"/>
    <w:rsid w:val="00D813AC"/>
    <w:rsid w:val="00DA67C3"/>
    <w:rsid w:val="00DB420C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33378"/>
    <w:rsid w:val="00F4231A"/>
    <w:rsid w:val="00F5399C"/>
    <w:rsid w:val="00F63C4B"/>
    <w:rsid w:val="00F6445C"/>
    <w:rsid w:val="00F65F4A"/>
    <w:rsid w:val="00F80EE0"/>
    <w:rsid w:val="00F8457C"/>
    <w:rsid w:val="00F9395A"/>
    <w:rsid w:val="00FA19D7"/>
    <w:rsid w:val="00FA6722"/>
    <w:rsid w:val="00FC2535"/>
    <w:rsid w:val="00FD04BF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E91"/>
  <w15:docId w15:val="{EBBEB951-691D-4B63-8629-DCEBBF76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otsenka-reguliruyushchego-vozdeystviya-proektov-normativnykh-pravovykh-aktov-tutaevskogo-munitsipal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EDD3-211A-4384-B949-1B126AAF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apknach</cp:lastModifiedBy>
  <cp:revision>13</cp:revision>
  <dcterms:created xsi:type="dcterms:W3CDTF">2026-04-22T17:06:00Z</dcterms:created>
  <dcterms:modified xsi:type="dcterms:W3CDTF">2026-04-23T08:32:00Z</dcterms:modified>
</cp:coreProperties>
</file>