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3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0"/>
      </w:tblGrid>
      <w:tr w:rsidR="00B459FD" w:rsidTr="00CE0C57">
        <w:trPr>
          <w:cantSplit/>
        </w:trPr>
        <w:tc>
          <w:tcPr>
            <w:tcW w:w="9930" w:type="dxa"/>
          </w:tcPr>
          <w:p w:rsidR="00B459FD" w:rsidRDefault="00B459FD">
            <w:pPr>
              <w:pStyle w:val="1"/>
              <w:ind w:left="-567"/>
              <w:jc w:val="center"/>
              <w:rPr>
                <w:rFonts w:ascii="Arial" w:hAnsi="Arial" w:cs="Arial"/>
                <w:sz w:val="40"/>
                <w:szCs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26E05FB" wp14:editId="11E84ED8">
                  <wp:extent cx="612140" cy="803275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459FD" w:rsidRDefault="00B459F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B459FD" w:rsidRDefault="00B459F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B459FD" w:rsidRDefault="00B459FD">
            <w:pPr>
              <w:ind w:left="-567"/>
              <w:jc w:val="center"/>
              <w:rPr>
                <w:sz w:val="24"/>
              </w:rPr>
            </w:pPr>
          </w:p>
          <w:p w:rsidR="00B459FD" w:rsidRPr="00B459FD" w:rsidRDefault="00B459FD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 w:rsidRPr="00B459FD">
              <w:rPr>
                <w:bCs/>
                <w:sz w:val="40"/>
                <w:szCs w:val="40"/>
              </w:rPr>
              <w:t>РЕШЕНИЕ</w:t>
            </w:r>
          </w:p>
          <w:p w:rsidR="00176D73" w:rsidRDefault="00176D73">
            <w:pPr>
              <w:ind w:left="-70"/>
              <w:rPr>
                <w:b/>
              </w:rPr>
            </w:pPr>
          </w:p>
          <w:p w:rsidR="00B459FD" w:rsidRDefault="00B459FD">
            <w:pPr>
              <w:ind w:left="-70"/>
              <w:rPr>
                <w:b/>
              </w:rPr>
            </w:pPr>
            <w:r>
              <w:rPr>
                <w:b/>
              </w:rPr>
              <w:t xml:space="preserve">от </w:t>
            </w:r>
            <w:r w:rsidR="00176D73">
              <w:rPr>
                <w:b/>
              </w:rPr>
              <w:t xml:space="preserve">26.02.2026 </w:t>
            </w:r>
            <w:r>
              <w:rPr>
                <w:b/>
              </w:rPr>
              <w:t xml:space="preserve"> № </w:t>
            </w:r>
            <w:r w:rsidR="00176D73">
              <w:rPr>
                <w:b/>
              </w:rPr>
              <w:t>13</w:t>
            </w:r>
          </w:p>
          <w:p w:rsidR="00B459FD" w:rsidRDefault="00B459F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6A1669" w:rsidRDefault="006A1669" w:rsidP="00B459FD">
      <w:pPr>
        <w:jc w:val="right"/>
        <w:rPr>
          <w:sz w:val="26"/>
          <w:szCs w:val="26"/>
        </w:rPr>
      </w:pPr>
    </w:p>
    <w:p w:rsidR="00176D73" w:rsidRDefault="00176D73" w:rsidP="00B459FD">
      <w:pPr>
        <w:jc w:val="right"/>
        <w:rPr>
          <w:sz w:val="26"/>
          <w:szCs w:val="26"/>
        </w:rPr>
      </w:pPr>
    </w:p>
    <w:p w:rsidR="006A1669" w:rsidRPr="00A12601" w:rsidRDefault="00B459FD">
      <w:pPr>
        <w:ind w:left="-7" w:rightChars="1441" w:right="4035" w:firstLine="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Об утверждении </w:t>
      </w:r>
      <w:r w:rsidR="00CE0C57" w:rsidRPr="00A12601">
        <w:rPr>
          <w:sz w:val="26"/>
          <w:szCs w:val="26"/>
        </w:rPr>
        <w:t>П</w:t>
      </w:r>
      <w:r w:rsidRPr="00A12601">
        <w:rPr>
          <w:sz w:val="26"/>
          <w:szCs w:val="26"/>
        </w:rPr>
        <w:t xml:space="preserve">орядка списания имущества, находящегося в собственности Тутаевского муниципального округа   </w:t>
      </w:r>
    </w:p>
    <w:p w:rsidR="006A1669" w:rsidRDefault="006A1669">
      <w:pPr>
        <w:ind w:left="-7" w:firstLine="7"/>
        <w:jc w:val="both"/>
        <w:rPr>
          <w:sz w:val="26"/>
          <w:szCs w:val="26"/>
        </w:rPr>
      </w:pPr>
    </w:p>
    <w:p w:rsidR="00176D73" w:rsidRPr="00A12601" w:rsidRDefault="00176D73">
      <w:pPr>
        <w:ind w:left="-7" w:firstLine="7"/>
        <w:jc w:val="both"/>
        <w:rPr>
          <w:sz w:val="26"/>
          <w:szCs w:val="26"/>
        </w:rPr>
      </w:pPr>
    </w:p>
    <w:p w:rsidR="006A1669" w:rsidRPr="00A12601" w:rsidRDefault="00B459FD">
      <w:pPr>
        <w:pStyle w:val="ad"/>
        <w:spacing w:beforeAutospacing="0" w:afterAutospacing="0" w:line="285" w:lineRule="atLeast"/>
        <w:ind w:firstLine="540"/>
        <w:jc w:val="both"/>
        <w:rPr>
          <w:sz w:val="26"/>
          <w:szCs w:val="26"/>
          <w:lang w:val="ru-RU"/>
        </w:rPr>
      </w:pPr>
      <w:r w:rsidRPr="00A12601">
        <w:rPr>
          <w:sz w:val="26"/>
          <w:szCs w:val="26"/>
          <w:lang w:val="ru-RU"/>
        </w:rPr>
        <w:t xml:space="preserve">В соответствии со статьями 295, 296 и 298 Гражданского кодекса Российской Федерации,  </w:t>
      </w:r>
      <w:r w:rsidRPr="00A12601">
        <w:rPr>
          <w:rFonts w:eastAsia="Segoe UI"/>
          <w:color w:val="000000"/>
          <w:sz w:val="26"/>
          <w:szCs w:val="26"/>
          <w:lang w:val="ru-RU"/>
        </w:rPr>
        <w:t xml:space="preserve">Федеральными законами от 14.11.2002 № 161-ФЗ «О государственных и муниципальных унитарных предприятиях», </w:t>
      </w:r>
      <w:hyperlink r:id="rId10" w:history="1"/>
      <w:hyperlink r:id="rId11" w:history="1"/>
      <w:hyperlink r:id="rId12" w:history="1"/>
      <w:hyperlink r:id="rId13" w:history="1"/>
      <w:r w:rsidRPr="00A12601">
        <w:rPr>
          <w:sz w:val="26"/>
          <w:szCs w:val="26"/>
          <w:lang w:val="ru-RU"/>
        </w:rPr>
        <w:t xml:space="preserve">от 03.11.2006 № 174-ФЗ «Об автономных учреждениях», от 06.12.2011 № 402-ФЗ «О бухгалтерском учете», на основании Положения о порядке управления и распоряжения имуществом, находящимся в муниципальной собственности Тутаевского муниципального округа, утвержденного решением Муниципального Совета Тутаевского муниципального округа от 23.10.2025 № 85, Уставом Тутаевского муниципального округа Муниципальный Совет Тутаевского муниципального округа </w:t>
      </w:r>
    </w:p>
    <w:p w:rsidR="00A12601" w:rsidRPr="00A12601" w:rsidRDefault="00A12601" w:rsidP="00A12601">
      <w:pPr>
        <w:pStyle w:val="ad"/>
        <w:spacing w:beforeAutospacing="0" w:afterAutospacing="0" w:line="285" w:lineRule="atLeast"/>
        <w:jc w:val="both"/>
        <w:rPr>
          <w:sz w:val="26"/>
          <w:szCs w:val="26"/>
          <w:lang w:val="ru-RU"/>
        </w:rPr>
      </w:pPr>
    </w:p>
    <w:p w:rsidR="00A12601" w:rsidRPr="00A12601" w:rsidRDefault="00A12601" w:rsidP="00A12601">
      <w:pPr>
        <w:pStyle w:val="ad"/>
        <w:spacing w:beforeAutospacing="0" w:afterAutospacing="0" w:line="285" w:lineRule="atLeast"/>
        <w:jc w:val="both"/>
        <w:rPr>
          <w:sz w:val="26"/>
          <w:szCs w:val="26"/>
          <w:lang w:val="ru-RU"/>
        </w:rPr>
      </w:pPr>
      <w:r w:rsidRPr="00A12601">
        <w:rPr>
          <w:sz w:val="26"/>
          <w:szCs w:val="26"/>
          <w:lang w:val="ru-RU"/>
        </w:rPr>
        <w:t>РЕШИЛ:</w:t>
      </w:r>
    </w:p>
    <w:p w:rsidR="006A1669" w:rsidRPr="00A12601" w:rsidRDefault="006A1669">
      <w:pPr>
        <w:pStyle w:val="ConsPlusNormal"/>
        <w:ind w:left="-7" w:firstLine="7"/>
        <w:jc w:val="both"/>
        <w:rPr>
          <w:sz w:val="26"/>
          <w:szCs w:val="26"/>
        </w:rPr>
      </w:pPr>
    </w:p>
    <w:p w:rsidR="006A1669" w:rsidRPr="00A12601" w:rsidRDefault="00B459FD" w:rsidP="00CE0C57">
      <w:pPr>
        <w:pStyle w:val="ConsPlusNormal"/>
        <w:ind w:left="-7" w:firstLine="54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>1. Утвердить Порядок списания имущества, находящегося в собственности Тутаевского муниципального округа в соответствии с приложением.</w:t>
      </w:r>
    </w:p>
    <w:p w:rsidR="006A1669" w:rsidRPr="00A12601" w:rsidRDefault="00B459FD" w:rsidP="00CE0C57">
      <w:pPr>
        <w:pStyle w:val="ConsPlusNormal"/>
        <w:ind w:left="-7" w:firstLine="54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>2. Контроль за исполнением настоящего решения возложить на постоянную  комиссию по экономической политике, инвестициям, промышленности и предпринимательству.</w:t>
      </w:r>
    </w:p>
    <w:p w:rsidR="006A1669" w:rsidRPr="00A12601" w:rsidRDefault="00B459FD" w:rsidP="00CE0C57">
      <w:pPr>
        <w:pStyle w:val="ConsPlusNormal"/>
        <w:ind w:left="-7" w:firstLine="547"/>
        <w:jc w:val="both"/>
        <w:rPr>
          <w:sz w:val="26"/>
          <w:szCs w:val="26"/>
        </w:rPr>
      </w:pPr>
      <w:r w:rsidRPr="00A12601">
        <w:rPr>
          <w:sz w:val="26"/>
          <w:szCs w:val="26"/>
        </w:rPr>
        <w:t>3. Разместить настоящее решение на официальном сайте Администрации Тутаевского муниципального района в сети Интернет (</w:t>
      </w:r>
      <w:r w:rsidRPr="00A12601">
        <w:rPr>
          <w:sz w:val="26"/>
          <w:szCs w:val="26"/>
          <w:lang w:val="en-US"/>
        </w:rPr>
        <w:t>www</w:t>
      </w:r>
      <w:r w:rsidRPr="00A12601">
        <w:rPr>
          <w:sz w:val="26"/>
          <w:szCs w:val="26"/>
        </w:rPr>
        <w:t>.</w:t>
      </w:r>
      <w:r w:rsidRPr="00A12601">
        <w:rPr>
          <w:sz w:val="26"/>
          <w:szCs w:val="26"/>
          <w:lang w:val="en-US"/>
        </w:rPr>
        <w:t>admtmr</w:t>
      </w:r>
      <w:r w:rsidRPr="00A12601">
        <w:rPr>
          <w:sz w:val="26"/>
          <w:szCs w:val="26"/>
        </w:rPr>
        <w:t>.</w:t>
      </w:r>
      <w:r w:rsidRPr="00A12601">
        <w:rPr>
          <w:sz w:val="26"/>
          <w:szCs w:val="26"/>
          <w:lang w:val="en-US"/>
        </w:rPr>
        <w:t>ru</w:t>
      </w:r>
      <w:r w:rsidRPr="00A12601">
        <w:rPr>
          <w:sz w:val="26"/>
          <w:szCs w:val="26"/>
        </w:rPr>
        <w:t>).</w:t>
      </w:r>
    </w:p>
    <w:p w:rsidR="006A1669" w:rsidRPr="00A12601" w:rsidRDefault="00B459FD" w:rsidP="00CE0C57">
      <w:pPr>
        <w:pStyle w:val="ConsPlusNormal"/>
        <w:ind w:firstLine="540"/>
        <w:jc w:val="both"/>
        <w:rPr>
          <w:sz w:val="26"/>
          <w:szCs w:val="26"/>
        </w:rPr>
      </w:pPr>
      <w:r w:rsidRPr="00A12601">
        <w:rPr>
          <w:sz w:val="26"/>
          <w:szCs w:val="26"/>
        </w:rPr>
        <w:t>4. Настоящее решение вступает в силу после его официального опубликования.</w:t>
      </w:r>
    </w:p>
    <w:p w:rsidR="00B459FD" w:rsidRDefault="00B459FD" w:rsidP="00B459FD">
      <w:pPr>
        <w:jc w:val="both"/>
        <w:rPr>
          <w:sz w:val="26"/>
          <w:szCs w:val="26"/>
        </w:rPr>
      </w:pPr>
    </w:p>
    <w:p w:rsidR="00176D73" w:rsidRPr="00A12601" w:rsidRDefault="00176D73" w:rsidP="00B459FD">
      <w:pPr>
        <w:jc w:val="both"/>
        <w:rPr>
          <w:sz w:val="26"/>
          <w:szCs w:val="26"/>
        </w:rPr>
      </w:pP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>Председатель Муниципального Совета</w:t>
      </w: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Тутаевского муниципального округа                                        </w:t>
      </w:r>
      <w:r w:rsidRPr="00A12601">
        <w:rPr>
          <w:sz w:val="26"/>
          <w:szCs w:val="26"/>
        </w:rPr>
        <w:tab/>
      </w:r>
      <w:r w:rsidRPr="00A12601">
        <w:rPr>
          <w:sz w:val="26"/>
          <w:szCs w:val="26"/>
        </w:rPr>
        <w:tab/>
        <w:t>С.Ю. Ершов</w:t>
      </w:r>
    </w:p>
    <w:p w:rsidR="00B459FD" w:rsidRDefault="00B459FD" w:rsidP="00B459FD">
      <w:pPr>
        <w:ind w:firstLine="708"/>
        <w:jc w:val="both"/>
        <w:rPr>
          <w:sz w:val="26"/>
          <w:szCs w:val="26"/>
        </w:rPr>
      </w:pPr>
    </w:p>
    <w:p w:rsidR="00176D73" w:rsidRPr="00A12601" w:rsidRDefault="00176D73" w:rsidP="00B459FD">
      <w:pPr>
        <w:ind w:firstLine="708"/>
        <w:jc w:val="both"/>
        <w:rPr>
          <w:sz w:val="26"/>
          <w:szCs w:val="26"/>
        </w:rPr>
      </w:pP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>Глава Тутаевского</w:t>
      </w:r>
    </w:p>
    <w:p w:rsidR="00B459FD" w:rsidRPr="00A12601" w:rsidRDefault="00B459FD" w:rsidP="00B459FD">
      <w:pPr>
        <w:jc w:val="both"/>
        <w:rPr>
          <w:sz w:val="26"/>
          <w:szCs w:val="26"/>
        </w:rPr>
      </w:pPr>
      <w:r w:rsidRPr="00A12601">
        <w:rPr>
          <w:sz w:val="26"/>
          <w:szCs w:val="26"/>
        </w:rPr>
        <w:t xml:space="preserve">муниципального округа                                                              </w:t>
      </w:r>
      <w:r w:rsidRPr="00A12601">
        <w:rPr>
          <w:sz w:val="26"/>
          <w:szCs w:val="26"/>
        </w:rPr>
        <w:tab/>
      </w:r>
      <w:r w:rsidRPr="00A12601">
        <w:rPr>
          <w:sz w:val="26"/>
          <w:szCs w:val="26"/>
        </w:rPr>
        <w:tab/>
        <w:t>О.В. Низова</w:t>
      </w:r>
    </w:p>
    <w:p w:rsidR="006A1669" w:rsidRDefault="006A1669">
      <w:pPr>
        <w:pStyle w:val="ConsPlusNormal"/>
        <w:ind w:left="-7" w:firstLine="7"/>
        <w:jc w:val="both"/>
        <w:rPr>
          <w:szCs w:val="24"/>
        </w:rPr>
      </w:pPr>
    </w:p>
    <w:p w:rsidR="00A12601" w:rsidRDefault="00A12601">
      <w:pPr>
        <w:pStyle w:val="ConsPlusNormal"/>
        <w:jc w:val="right"/>
        <w:rPr>
          <w:iCs/>
          <w:szCs w:val="24"/>
        </w:rPr>
      </w:pPr>
    </w:p>
    <w:p w:rsidR="00B459FD" w:rsidRPr="00176D73" w:rsidRDefault="00B459FD">
      <w:pPr>
        <w:pStyle w:val="ConsPlusNormal"/>
        <w:jc w:val="right"/>
        <w:rPr>
          <w:iCs/>
          <w:szCs w:val="24"/>
        </w:rPr>
      </w:pPr>
      <w:r w:rsidRPr="00176D73">
        <w:rPr>
          <w:iCs/>
          <w:szCs w:val="24"/>
        </w:rPr>
        <w:lastRenderedPageBreak/>
        <w:t xml:space="preserve">Приложение </w:t>
      </w:r>
    </w:p>
    <w:p w:rsidR="006A1669" w:rsidRPr="00176D73" w:rsidRDefault="00B459FD">
      <w:pPr>
        <w:pStyle w:val="ConsPlusNormal"/>
        <w:jc w:val="right"/>
        <w:rPr>
          <w:szCs w:val="24"/>
        </w:rPr>
      </w:pPr>
      <w:r w:rsidRPr="00176D73">
        <w:rPr>
          <w:szCs w:val="24"/>
        </w:rPr>
        <w:t>к Решению Муниципального Совета</w:t>
      </w:r>
    </w:p>
    <w:p w:rsidR="006A1669" w:rsidRPr="00176D73" w:rsidRDefault="00B459FD">
      <w:pPr>
        <w:pStyle w:val="ConsPlusNormal"/>
        <w:jc w:val="right"/>
        <w:rPr>
          <w:szCs w:val="24"/>
        </w:rPr>
      </w:pPr>
      <w:r w:rsidRPr="00176D73">
        <w:rPr>
          <w:szCs w:val="24"/>
        </w:rPr>
        <w:t>Тутаевского муниципального округа</w:t>
      </w:r>
    </w:p>
    <w:p w:rsidR="006A1669" w:rsidRPr="00176D73" w:rsidRDefault="00B459FD">
      <w:pPr>
        <w:pStyle w:val="ConsPlusNormal"/>
        <w:jc w:val="right"/>
        <w:rPr>
          <w:szCs w:val="24"/>
        </w:rPr>
      </w:pPr>
      <w:r w:rsidRPr="00176D73">
        <w:rPr>
          <w:szCs w:val="24"/>
        </w:rPr>
        <w:t xml:space="preserve">от </w:t>
      </w:r>
      <w:r w:rsidR="00176D73" w:rsidRPr="00176D73">
        <w:rPr>
          <w:szCs w:val="24"/>
        </w:rPr>
        <w:t xml:space="preserve">26.02.2026 </w:t>
      </w:r>
      <w:r w:rsidRPr="00176D73">
        <w:rPr>
          <w:szCs w:val="24"/>
        </w:rPr>
        <w:t xml:space="preserve"> №</w:t>
      </w:r>
      <w:r w:rsidR="00176D73" w:rsidRPr="00176D73">
        <w:rPr>
          <w:szCs w:val="24"/>
        </w:rPr>
        <w:t xml:space="preserve"> 13</w:t>
      </w:r>
    </w:p>
    <w:p w:rsidR="006A1669" w:rsidRPr="00176D73" w:rsidRDefault="006A1669">
      <w:pPr>
        <w:pStyle w:val="ConsPlusNormal"/>
        <w:jc w:val="both"/>
        <w:rPr>
          <w:szCs w:val="24"/>
        </w:rPr>
      </w:pPr>
    </w:p>
    <w:p w:rsidR="00B459FD" w:rsidRPr="00176D73" w:rsidRDefault="00B459FD">
      <w:pPr>
        <w:spacing w:after="1"/>
        <w:jc w:val="center"/>
        <w:rPr>
          <w:b/>
          <w:bCs/>
          <w:sz w:val="24"/>
          <w:szCs w:val="24"/>
        </w:rPr>
      </w:pPr>
      <w:bookmarkStart w:id="0" w:name="P46"/>
      <w:bookmarkEnd w:id="0"/>
      <w:r w:rsidRPr="00176D73">
        <w:rPr>
          <w:b/>
          <w:bCs/>
          <w:sz w:val="24"/>
          <w:szCs w:val="24"/>
        </w:rPr>
        <w:t xml:space="preserve">Порядок списания имущества, находящегося в собственности </w:t>
      </w:r>
    </w:p>
    <w:p w:rsidR="006A1669" w:rsidRPr="00176D73" w:rsidRDefault="00B459FD">
      <w:pPr>
        <w:spacing w:after="1"/>
        <w:jc w:val="center"/>
        <w:rPr>
          <w:b/>
          <w:bCs/>
          <w:sz w:val="24"/>
          <w:szCs w:val="24"/>
        </w:rPr>
      </w:pPr>
      <w:r w:rsidRPr="00176D73">
        <w:rPr>
          <w:b/>
          <w:bCs/>
          <w:sz w:val="24"/>
          <w:szCs w:val="24"/>
        </w:rPr>
        <w:t>Тутаевского муниципального округа</w:t>
      </w:r>
    </w:p>
    <w:p w:rsidR="006A1669" w:rsidRPr="00176D73" w:rsidRDefault="006A1669">
      <w:pPr>
        <w:pStyle w:val="ConsPlusTitle"/>
        <w:ind w:firstLine="540"/>
        <w:jc w:val="both"/>
        <w:outlineLvl w:val="1"/>
        <w:rPr>
          <w:rFonts w:ascii="Times New Roman" w:hAnsi="Times New Roman" w:cs="Times New Roman"/>
          <w:szCs w:val="24"/>
        </w:rPr>
      </w:pPr>
    </w:p>
    <w:p w:rsidR="006A1669" w:rsidRPr="00176D73" w:rsidRDefault="00B459FD" w:rsidP="00176D73">
      <w:pPr>
        <w:pStyle w:val="ConsPlusNormal"/>
        <w:numPr>
          <w:ilvl w:val="0"/>
          <w:numId w:val="1"/>
        </w:numPr>
        <w:ind w:left="0" w:firstLineChars="233" w:firstLine="559"/>
        <w:jc w:val="both"/>
        <w:rPr>
          <w:szCs w:val="24"/>
        </w:rPr>
      </w:pPr>
      <w:r w:rsidRPr="00176D73">
        <w:rPr>
          <w:szCs w:val="24"/>
        </w:rPr>
        <w:t>Порядок списания имущества, находящегося в собственности Тутаевского муниципального округа Ярославской области (далее - Порядок), определяет процедуру списания имущества, находящегося в собственности Тутаевского муниципального округа Ярославской области, и закреплённого:</w:t>
      </w:r>
    </w:p>
    <w:p w:rsidR="006A1669" w:rsidRPr="00176D73" w:rsidRDefault="00B459FD" w:rsidP="00176D73">
      <w:pPr>
        <w:pStyle w:val="ConsPlusNormal"/>
        <w:spacing w:before="240"/>
        <w:ind w:firstLineChars="233" w:firstLine="559"/>
        <w:jc w:val="both"/>
        <w:rPr>
          <w:szCs w:val="24"/>
        </w:rPr>
      </w:pPr>
      <w:r w:rsidRPr="00176D73">
        <w:rPr>
          <w:szCs w:val="24"/>
        </w:rPr>
        <w:t>- на праве хозяйственного ведения - за муниципальными унитарными предприятиями Тутаевского муниципального округа Ярославской области;</w:t>
      </w:r>
    </w:p>
    <w:p w:rsidR="006A1669" w:rsidRPr="00176D73" w:rsidRDefault="00B459FD" w:rsidP="00176D73">
      <w:pPr>
        <w:pStyle w:val="ConsPlusTitle"/>
        <w:ind w:firstLineChars="233" w:firstLine="559"/>
        <w:jc w:val="both"/>
        <w:outlineLvl w:val="1"/>
        <w:rPr>
          <w:rFonts w:ascii="Times New Roman" w:hAnsi="Times New Roman" w:cs="Times New Roman"/>
          <w:b w:val="0"/>
          <w:szCs w:val="24"/>
        </w:rPr>
      </w:pPr>
      <w:r w:rsidRPr="00176D73">
        <w:rPr>
          <w:rFonts w:ascii="Times New Roman" w:hAnsi="Times New Roman" w:cs="Times New Roman"/>
          <w:b w:val="0"/>
          <w:szCs w:val="24"/>
        </w:rPr>
        <w:t>- на праве оперативного управления - за органами местного самоуправления, муниципальными учреждениями округа (бюджетными, автономными, казёнными);</w:t>
      </w:r>
    </w:p>
    <w:p w:rsidR="006A1669" w:rsidRPr="00176D73" w:rsidRDefault="00B459FD" w:rsidP="00176D73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>- учитываемого в муниципальной казне Тутаевского муниципального округа Ярославской области.</w:t>
      </w:r>
    </w:p>
    <w:p w:rsidR="006A1669" w:rsidRPr="00176D73" w:rsidRDefault="006A1669" w:rsidP="00176D73">
      <w:pPr>
        <w:pStyle w:val="ConsPlusTitle"/>
        <w:ind w:firstLineChars="233" w:firstLine="559"/>
        <w:jc w:val="both"/>
        <w:outlineLvl w:val="1"/>
        <w:rPr>
          <w:rFonts w:ascii="Times New Roman" w:hAnsi="Times New Roman" w:cs="Times New Roman"/>
          <w:b w:val="0"/>
          <w:szCs w:val="24"/>
        </w:rPr>
      </w:pPr>
    </w:p>
    <w:p w:rsidR="006A1669" w:rsidRPr="00176D73" w:rsidRDefault="00B459FD" w:rsidP="00176D73">
      <w:pPr>
        <w:pStyle w:val="ConsPlusTitle"/>
        <w:numPr>
          <w:ilvl w:val="0"/>
          <w:numId w:val="1"/>
        </w:numPr>
        <w:ind w:left="0" w:firstLineChars="233" w:firstLine="559"/>
        <w:jc w:val="both"/>
        <w:outlineLvl w:val="1"/>
        <w:rPr>
          <w:rFonts w:ascii="Times New Roman" w:hAnsi="Times New Roman" w:cs="Times New Roman"/>
          <w:b w:val="0"/>
          <w:bCs/>
          <w:szCs w:val="24"/>
        </w:rPr>
      </w:pPr>
      <w:r w:rsidRPr="00176D73">
        <w:rPr>
          <w:rFonts w:ascii="Times New Roman" w:hAnsi="Times New Roman"/>
          <w:b w:val="0"/>
          <w:bCs/>
          <w:szCs w:val="24"/>
        </w:rPr>
        <w:t>Списанию в соответствии с настоящим Порядком подлежит имущество, учитываемое в реестре имущества, находящегося в собственности Тутаевского муниципального округа Ярославской области (далее - Реестр).</w:t>
      </w:r>
    </w:p>
    <w:p w:rsidR="006A1669" w:rsidRPr="00176D73" w:rsidRDefault="006A1669" w:rsidP="00176D73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</w:p>
    <w:p w:rsidR="006A1669" w:rsidRPr="00176D73" w:rsidRDefault="00B459FD" w:rsidP="00176D73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>Муниципальные унитарные предприятия, муниципальные казенные учреждения Тутаевского муниципального округа, органы местного самоуправления Тутаевского муниципального округа Ярославской области в соответствии с Порядком осуществляют списание с бухгалтерского учета основных средств, первоначальная стоимость которых составляет 50000 рублей и более за единицу имущества, а также объектов недвижимого имущества, автомототранспортных средств и других видов самоходной техники независимо от их стоимости.</w:t>
      </w:r>
    </w:p>
    <w:p w:rsidR="006A1669" w:rsidRPr="00176D73" w:rsidRDefault="00B459FD" w:rsidP="00176D73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>Муниципальные автономные учреждения Тутаевского муниципального округа Ярославской области в соответствии с Порядком осуществляют списание с бухгалтерского учета недвижимого имущества и особо ценного движимого имущества, закрепленного за ним в установленном порядке или приобретённого за счёт средств, выделенных ему органами местного самоуправления Тутаевского муниципального округа Ярославской области.</w:t>
      </w:r>
    </w:p>
    <w:p w:rsidR="006A1669" w:rsidRPr="00176D73" w:rsidRDefault="00B459FD" w:rsidP="00176D73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>Муниципальное бюджетное учреждение Тутаевского муниципального округа Ярославской области в соответствии с Порядком осуществляет списание с бухгалтерского учета особо ценного движимого имущества (первоначальная стоимость которых составляет 50000 рублей и более за единицу имущества), закрепленного за ним в установленном порядке или приобретенного за счет средств, выделенных ему органом местного самоуправления Тутаевского муниципального округа, а также недвижимого имущества,.</w:t>
      </w:r>
    </w:p>
    <w:p w:rsidR="006A1669" w:rsidRPr="00176D73" w:rsidRDefault="00B459FD" w:rsidP="00176D73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 xml:space="preserve"> </w:t>
      </w:r>
    </w:p>
    <w:p w:rsidR="006A1669" w:rsidRPr="00176D73" w:rsidRDefault="00B459FD" w:rsidP="00176D73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 xml:space="preserve">Остальное имущество, муниципальные унитарные предприятия, муниципальные учреждения Тутаевского муниципального округа Ярославской области (бюджетное, автономное, казенное), органы местного самоуправления Тутаевского муниципального округа Ярославской области вправе списывать с бухгалтерского учета самостоятельно. В течение 7 рабочих дней с даты принятия решения о списании имущества организации, которые произвели списание, направляют официальным письмом перечень списанного имущества с указанием наименования, балансовой стоимости, инвентарного номера и </w:t>
      </w:r>
      <w:r w:rsidRPr="00176D73">
        <w:rPr>
          <w:lang w:val="ru-RU"/>
        </w:rPr>
        <w:lastRenderedPageBreak/>
        <w:t>других имеющихся характеристик, в структурное подразделение Администрации Тутаевского муниципального округа, уполномоченное на осуществление полномочий Администрации по владению, пользованию и распоряжению муниципальной собственностью Тутаевского муниципального округа, с целью исключения данного имущества из реестра муниципального имущества Тутаевского муниципального округа.</w:t>
      </w:r>
    </w:p>
    <w:p w:rsidR="006A1669" w:rsidRPr="00176D73" w:rsidRDefault="00B459FD" w:rsidP="00176D73">
      <w:pPr>
        <w:pStyle w:val="ad"/>
        <w:numPr>
          <w:ilvl w:val="0"/>
          <w:numId w:val="1"/>
        </w:numPr>
        <w:spacing w:before="165" w:beforeAutospacing="0" w:afterAutospacing="0" w:line="285" w:lineRule="atLeast"/>
        <w:ind w:left="0" w:firstLineChars="233" w:firstLine="559"/>
        <w:jc w:val="both"/>
        <w:rPr>
          <w:lang w:val="ru-RU"/>
        </w:rPr>
      </w:pPr>
      <w:r w:rsidRPr="00176D73">
        <w:rPr>
          <w:lang w:val="ru-RU"/>
        </w:rPr>
        <w:t>Муниципальные унитарные предприятия Тутаевского муниципального округа Ярославской области, муниципальные учреждения Тутаевского муниципального округа Ярославской области (бюджетное, автономное, казенное), орган местного самоуправления Тутаевского муниципального округа Ярославской области направляют в структурное подразделение Администрации Тутаевского муниципального округа, уполномоченное на осуществление полномочий Администрации по владению, пользованию и распоряжению муниципальной собственностью Тутаевского муниципального округа (далее - Управление), письменное обращение по типовой форме (приложения №№ 1, 2), в электронном виде и на бумажном носителе, в соответствии с видом имущества, подлежащего списанию.</w:t>
      </w:r>
    </w:p>
    <w:p w:rsidR="006A1669" w:rsidRPr="00176D73" w:rsidRDefault="006A1669" w:rsidP="00176D73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</w:p>
    <w:p w:rsidR="006A1669" w:rsidRPr="00176D73" w:rsidRDefault="00B459FD" w:rsidP="00176D73">
      <w:pPr>
        <w:pStyle w:val="ad"/>
        <w:spacing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>К обращению организации прилагаются следующие документы:</w:t>
      </w:r>
    </w:p>
    <w:p w:rsidR="006A1669" w:rsidRPr="00176D73" w:rsidRDefault="00B459FD" w:rsidP="00176D73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 xml:space="preserve">- копия приказа руководителя организации о создании постоянно действующей комиссии по списанию основных средств; </w:t>
      </w:r>
    </w:p>
    <w:p w:rsidR="006A1669" w:rsidRPr="00176D73" w:rsidRDefault="00B459FD" w:rsidP="00176D73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 xml:space="preserve">- копия инвентарной карточки основного средства, подлежащего списанию; </w:t>
      </w:r>
    </w:p>
    <w:p w:rsidR="006A1669" w:rsidRPr="00176D73" w:rsidRDefault="00B459FD" w:rsidP="00176D73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 xml:space="preserve">- акт осмотра технического состояния основного средства, подлежащего списанию, составленный комиссией организации, с обоснованием причин нецелесообразности использования и невозможности его восстановления, для автомототранспортного средства и других видов самоходной техники согласно </w:t>
      </w:r>
      <w:hyperlink r:id="rId14" w:history="1">
        <w:r w:rsidRPr="00176D73">
          <w:rPr>
            <w:rStyle w:val="a4"/>
            <w:color w:val="auto"/>
            <w:u w:val="none"/>
            <w:lang w:val="ru-RU"/>
          </w:rPr>
          <w:t>типовой форме</w:t>
        </w:r>
      </w:hyperlink>
      <w:r w:rsidRPr="00176D73">
        <w:rPr>
          <w:lang w:val="ru-RU"/>
        </w:rPr>
        <w:t xml:space="preserve"> (приложение № 3); </w:t>
      </w:r>
    </w:p>
    <w:p w:rsidR="006A1669" w:rsidRPr="00176D73" w:rsidRDefault="00B459FD" w:rsidP="00176D73">
      <w:pPr>
        <w:pStyle w:val="ad"/>
        <w:spacing w:before="165" w:beforeAutospacing="0" w:afterAutospacing="0" w:line="285" w:lineRule="atLeast"/>
        <w:ind w:firstLineChars="233" w:firstLine="559"/>
        <w:jc w:val="both"/>
        <w:rPr>
          <w:lang w:val="ru-RU"/>
        </w:rPr>
      </w:pPr>
      <w:r w:rsidRPr="00176D73">
        <w:rPr>
          <w:lang w:val="ru-RU"/>
        </w:rPr>
        <w:t xml:space="preserve">- фотоизображение основного средства, позволяющее идентифицировать объект и недостатки, являющиеся основанием для его списания;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копия паспорта транспортного средства, паспорта самоходной машины (при списании автомототранспортного средства и других видов самоходной техники);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</w:pPr>
      <w:r w:rsidRPr="00176D73">
        <w:rPr>
          <w:lang w:val="ru-RU"/>
        </w:rPr>
        <w:t xml:space="preserve">- копия свидетельства о регистрации прав на объект недвижимости или выписка из Единого государственного реестра прав на недвижимое имущество и сделок с ним о зарегистрированных правах на недвижимое имущество, подлежащее списанию </w:t>
      </w:r>
      <w:r w:rsidRPr="00176D73">
        <w:t xml:space="preserve">(при списании объекта недвижимого имущества);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>- копия технического плана или технического паспорта на объект недвижимого имущества, подлежащий списанию (при списании объекта недвижимого имущества);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копия свидетельства о регистрации права собственности на земельный участок, на котором расположен объект недвижимого имущества, и документ, подтверждающий наличие соответствующего права балансодержателя на земельный участок (при списании объекта недвижимого имущества); 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t>- копия диагностической карты или экспертного заключения о техническом состоянии автомототранспортного средства (при списании автомототранспортного средства);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>- копия протокола о рассмотрении наблюдательным советом муниципального автономного учреждения Тутаевского муниципального округа Ярославской области вопроса о списании основного средства (при списании основного средства муниципальным автономным учреждением Тутаевского муниципального округа Ярославской области);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lastRenderedPageBreak/>
        <w:t>- информация уполномоченного органа исполнительной власти Ярославской области в области сохранения, использования, популяризации и государственной охраны объектов культурного наследия о том, что объект недвижимого имущества не является объектом культурного наследия (памятником истории и культуры) народов Российской Федерации;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t>- техническое заключение специализированной организации по результатам обследования состояния строительных конструкций объекта недвижимого имущества, в том числе о степени его износа.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t>При списании основных средств, утраченных вследствие кражи, повреждения, пожара, аварии и других чрезвычайных ситуаций, дополнительно представляются: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t>- документы уполномоченных органов, подтверждающие факт утраты имущества;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t>- объяснительные записки руководителя организации и материально ответственных лиц о причинах утраты имущества с указанием сведений о возмещении виновными лицами ущерба в установленном законодательством порядке;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t>- копия приказа (распоряжения) организации о принятии мер в отношении работников организации, виновных в преждевременном выбытии основных средств из эксплуатации, в случае установления таковых;</w:t>
      </w:r>
    </w:p>
    <w:p w:rsidR="006A1669" w:rsidRPr="00176D73" w:rsidRDefault="00B459FD">
      <w:pPr>
        <w:pStyle w:val="ConsPlusNormal"/>
        <w:spacing w:before="240"/>
        <w:ind w:firstLine="540"/>
        <w:jc w:val="both"/>
        <w:rPr>
          <w:szCs w:val="24"/>
        </w:rPr>
      </w:pPr>
      <w:r w:rsidRPr="00176D73">
        <w:rPr>
          <w:szCs w:val="24"/>
        </w:rPr>
        <w:t>- акт о дорожно-транспортном происшествии, постановление по делу об административном нарушении, постановление следственных органов о возбуждении или прекращении уголовного дела (при списании автомототранспортного средства и других видов самоходной техники, пришедших в негодность вследствие дорожно-транспортных происшествий).</w:t>
      </w:r>
    </w:p>
    <w:p w:rsidR="006A1669" w:rsidRPr="00176D73" w:rsidRDefault="006A1669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6A1669" w:rsidRPr="00176D73" w:rsidRDefault="00B459FD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>Списание объектов жилищного фонда осуществляется в предусмотренном законодательством порядке при наличии справки соответствующего органа об отсутствии зарегистрированных по месту жительства граждан в подлежащем списанию объекте жилищного фонда.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К акту о списании бытовой, вычислительной техники, машин, оборудования и др. технического оборудования прилагается заключение о техническом состоянии или дефектная ведомость о невозможности дальнейшей эксплуатации, выданная организацией, имеющей соответствующие коды (ОКВЭД).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На списание имущества из муниципальной казны Тутаевского муниципального округа Ярославской области для определения непригодности основных средств, невозможности или нецелесообразности их восстановительного ремонта, а также для оформления необходимой документации в Управлении создается постоянно действующая комиссия. Персональный состав комиссии (в т.ч. председатель комиссии) утверждается распоряжением Управления.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В состав комиссии включаются: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специалисты соответствующих отделов Управления;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представители организаций, ответственных за использование и сохранность имущества казны.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Порядок и особенности списания имущества из муниципальной казны Управления производится в соответствии с </w:t>
      </w:r>
      <w:hyperlink r:id="rId15" w:history="1">
        <w:r w:rsidRPr="00176D73">
          <w:rPr>
            <w:rStyle w:val="a4"/>
            <w:color w:val="auto"/>
            <w:u w:val="none"/>
            <w:lang w:val="ru-RU"/>
          </w:rPr>
          <w:t>пунктом 3</w:t>
        </w:r>
      </w:hyperlink>
      <w:r w:rsidRPr="00176D73">
        <w:rPr>
          <w:lang w:val="ru-RU"/>
        </w:rPr>
        <w:t xml:space="preserve"> настоящего Порядка.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>Списание имущества, входящего в состав муниципальной казны, производится в Управлении на основании приказа Управления.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lastRenderedPageBreak/>
        <w:t xml:space="preserve">Списание незавершенного строительства (реконструкция, расширение, и техническое перевооружение) осуществляется при наличии: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заключения технической экспертизы, выданного организацией, имеющей соответствующие коды (ОКВЭД) на данный вид деятельности (прилагается копия информационного письма об учете в Статрегистре Росстата);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протокола решения комиссии о нецелесообразности достройки объектов и (или) социальной или иной опасности для людей с предписанием разборки и уничтожения;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балансовой справки о произведенных затратах.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Для получения технического заключения предприятия, учреждения вправе обратиться в специализированную компанию. </w:t>
      </w:r>
    </w:p>
    <w:p w:rsidR="006A1669" w:rsidRPr="00176D73" w:rsidRDefault="006A1669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</w:p>
    <w:p w:rsidR="006A1669" w:rsidRPr="00176D73" w:rsidRDefault="00B459FD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>4. Управление осуществляет проверку представленных организациями документов и проводит сверку имущества, подлежащего списанию, с данными Реестра.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При выявлении фактов несоответствия представленных организациями документов требованиям, указанным в </w:t>
      </w:r>
      <w:hyperlink r:id="rId16" w:history="1">
        <w:r w:rsidRPr="00176D73">
          <w:rPr>
            <w:rStyle w:val="a4"/>
            <w:color w:val="auto"/>
            <w:u w:val="none"/>
            <w:lang w:val="ru-RU"/>
          </w:rPr>
          <w:t>пункте 3</w:t>
        </w:r>
      </w:hyperlink>
      <w:r w:rsidRPr="00176D73">
        <w:rPr>
          <w:lang w:val="ru-RU"/>
        </w:rPr>
        <w:t xml:space="preserve"> Порядка, а также несоответствия сведений об объектах информации, содержащейся в Реестре, Управление приостанавливает рассмотрение вопроса о списании и возвращает организации представленные документы. После приведения данных бухгалтерского учета в соответствие с данными технической документации на объекты учета и представления в Управление соответствующей информации и документов для внесения изменений в Реестр организация направляет вновь в Управление письменное обращение с приложением документов, указанных в </w:t>
      </w:r>
      <w:hyperlink r:id="rId17" w:history="1">
        <w:r w:rsidRPr="00176D73">
          <w:rPr>
            <w:rStyle w:val="a4"/>
            <w:color w:val="auto"/>
            <w:u w:val="none"/>
            <w:lang w:val="ru-RU"/>
          </w:rPr>
          <w:t>пункте 3</w:t>
        </w:r>
      </w:hyperlink>
      <w:r w:rsidRPr="00176D73">
        <w:rPr>
          <w:lang w:val="ru-RU"/>
        </w:rPr>
        <w:t xml:space="preserve"> Порядка.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5. При наличии сомнений в целесообразности списания основного средства Управление извещает руководителя организации о необходимости представления дополнительной информации (документов).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6. Управление в соответствии с установленной компетенцией дает организации согласие на списание основного средства в форме приказа.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bookmarkStart w:id="1" w:name="p4"/>
      <w:bookmarkEnd w:id="1"/>
      <w:r w:rsidRPr="00176D73">
        <w:rPr>
          <w:lang w:val="ru-RU"/>
        </w:rPr>
        <w:t xml:space="preserve">7. Организация на основании приказа Управления оформляет </w:t>
      </w:r>
      <w:hyperlink r:id="rId18" w:history="1">
        <w:r w:rsidRPr="00176D73">
          <w:rPr>
            <w:rStyle w:val="a4"/>
            <w:color w:val="auto"/>
            <w:u w:val="none"/>
            <w:lang w:val="ru-RU"/>
          </w:rPr>
          <w:t>акт</w:t>
        </w:r>
      </w:hyperlink>
      <w:r w:rsidRPr="00176D73">
        <w:rPr>
          <w:lang w:val="ru-RU"/>
        </w:rPr>
        <w:t xml:space="preserve"> о списании основного средства по форме, утвержденной постановлением Государственного комитета Российской Федерации по статистике от 21 января 2003 г. </w:t>
      </w:r>
      <w:r w:rsidRPr="00176D73">
        <w:t>N</w:t>
      </w:r>
      <w:r w:rsidRPr="00176D73">
        <w:rPr>
          <w:lang w:val="ru-RU"/>
        </w:rPr>
        <w:t xml:space="preserve"> 7 «Об утверждении унифицированных форм первичной учетной документации по учету основных средств». В акте должны быть заполнены все графы и разделы, проставлены даты, подписи, отражены причины и результаты списания имущества. Акт утверждает руководитель организации (подпись, расшифровка подписи, печать организации).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После списания основного средства организации необходимо в соответствии с приказом Управления оприходовать на баланс высвободившиеся узлы, агрегаты, отдельные части и элементы, строительные материалы (при возможности их дальнейшего использования).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При невозможности дальнейшего использования высвободившихся узлов, агрегатов, отдельных частей и элементов, строительных материалов необходимо: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утилизировать имущество с соблюдением санитарных норм (при списании электротехнического, радиоэлектронного, компьютерного оборудования, при списании объекта недвижимого имущества);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реализовать имущество для вторичной переработки (при списании автомототранспортных средств и других видов самоходной техники).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lastRenderedPageBreak/>
        <w:t xml:space="preserve">При списании объекта недвижимого имущества организации необходимо: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осуществить снос имущества;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осуществить мероприятия по государственной регистрации прекращения права хозяйственного ведения, права оперативного управления на имущество (в случае наличия сведений о зарегистрированных правах в Едином государственном реестре прав на недвижимое имущество и сделок с ним).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Денежные средства, полученные от реализации металлического лома, организация перечисляет: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в доход местного бюджета (муниципальные учреждения (казенные), органы местного самоуправления);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на расчетный счет либо в кассу организации (муниципальные унитарные предприяти, муниципальные учреждения (автономные, бюджетные)).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В месячный срок с момента издания приказа организация представляет в Управление: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копию оформленного акта о списании основного средства;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копии документов, подтверждающих сдачу металлического лома и перечисление денежных средств от его реализации;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копии документов, подтверждающих утилизацию;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документы, подтверждающие снос и исключение недвижимого имущества из учетных сведений организации, осуществляющей учет и техническую инвентаризацию объектов капитального строительства (при списании объекта недвижимого имущества);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- выписку из Единого государственного реестра прав на недвижимое имущество и сделок с ним об отсутствии зарегистрированных прав на объект недвижимого имущества (при списании объекта недвижимого имущества).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8. При выявлении несоответствия представленных документов требованиям, указанным в </w:t>
      </w:r>
      <w:hyperlink w:anchor="p4" w:history="1">
        <w:r w:rsidRPr="00176D73">
          <w:rPr>
            <w:rStyle w:val="a4"/>
            <w:color w:val="auto"/>
            <w:u w:val="none"/>
            <w:lang w:val="ru-RU"/>
          </w:rPr>
          <w:t>пункте 7</w:t>
        </w:r>
      </w:hyperlink>
      <w:r w:rsidRPr="00176D73">
        <w:rPr>
          <w:lang w:val="ru-RU"/>
        </w:rPr>
        <w:t xml:space="preserve"> Порядка, Управление возвращает их на доработку. После доработки документы необходимо представить в Управление в 10-дневный срок со дня их возврата. </w:t>
      </w:r>
    </w:p>
    <w:p w:rsidR="006A1669" w:rsidRPr="00176D73" w:rsidRDefault="00B459FD">
      <w:pPr>
        <w:pStyle w:val="ad"/>
        <w:spacing w:before="165" w:beforeAutospacing="0" w:afterAutospacing="0" w:line="285" w:lineRule="atLeast"/>
        <w:ind w:firstLine="540"/>
        <w:jc w:val="both"/>
        <w:rPr>
          <w:lang w:val="ru-RU"/>
        </w:rPr>
      </w:pPr>
      <w:r w:rsidRPr="00176D73">
        <w:rPr>
          <w:lang w:val="ru-RU"/>
        </w:rPr>
        <w:t xml:space="preserve">9. Персональная ответственность за достоверность, правильное оформление и несвоевременное представление сведений и документов, указанных в Порядке, возлагается на руководителя и главного бухгалтера организации. </w:t>
      </w:r>
    </w:p>
    <w:p w:rsidR="006A1669" w:rsidRPr="00176D73" w:rsidRDefault="00B459FD">
      <w:pPr>
        <w:pStyle w:val="ad"/>
        <w:spacing w:beforeAutospacing="0" w:afterAutospacing="0" w:line="285" w:lineRule="atLeast"/>
        <w:ind w:firstLine="540"/>
        <w:jc w:val="both"/>
        <w:rPr>
          <w:lang w:val="ru-RU"/>
        </w:rPr>
      </w:pPr>
      <w:r w:rsidRPr="00176D73">
        <w:t> </w:t>
      </w:r>
      <w:r w:rsidRPr="00176D73">
        <w:rPr>
          <w:lang w:val="ru-RU"/>
        </w:rPr>
        <w:t xml:space="preserve"> </w:t>
      </w:r>
    </w:p>
    <w:p w:rsidR="006A1669" w:rsidRDefault="006A1669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Default="00176D73">
      <w:pPr>
        <w:pStyle w:val="ConsPlusNonformat"/>
        <w:jc w:val="both"/>
        <w:rPr>
          <w:sz w:val="22"/>
          <w:szCs w:val="22"/>
        </w:rPr>
      </w:pPr>
    </w:p>
    <w:p w:rsidR="00176D73" w:rsidRPr="000E0DDB" w:rsidRDefault="00176D73">
      <w:pPr>
        <w:pStyle w:val="ConsPlusNonformat"/>
        <w:jc w:val="both"/>
        <w:rPr>
          <w:sz w:val="22"/>
          <w:szCs w:val="22"/>
        </w:rPr>
      </w:pPr>
    </w:p>
    <w:p w:rsidR="006A1669" w:rsidRPr="00176D73" w:rsidRDefault="00B459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A1669" w:rsidRPr="00176D73" w:rsidRDefault="00B459FD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 xml:space="preserve"> к Порядку</w:t>
      </w:r>
    </w:p>
    <w:p w:rsidR="006A1669" w:rsidRPr="00176D73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Типовая форма № 1</w:t>
      </w:r>
    </w:p>
    <w:p w:rsidR="006A1669" w:rsidRPr="00176D73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письменного обращения организации при списании</w:t>
      </w:r>
    </w:p>
    <w:p w:rsidR="006A1669" w:rsidRPr="00176D73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с бухгалтерского учета движимого имущества</w:t>
      </w:r>
    </w:p>
    <w:p w:rsidR="006A1669" w:rsidRPr="00176D73" w:rsidRDefault="00B459FD" w:rsidP="000E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6A1669" w:rsidRPr="00176D73" w:rsidRDefault="00B459FD" w:rsidP="000E0DD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(наименование организации, реквизиты)</w:t>
      </w:r>
    </w:p>
    <w:p w:rsidR="006A1669" w:rsidRPr="00176D73" w:rsidRDefault="00B459F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___________ № _______</w:t>
      </w:r>
    </w:p>
    <w:p w:rsidR="006A1669" w:rsidRPr="00176D73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Pr="00176D73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1669" w:rsidRPr="00176D73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(обоснование списания основного средства)</w:t>
      </w:r>
    </w:p>
    <w:p w:rsidR="006A1669" w:rsidRPr="000E0DDB" w:rsidRDefault="006A1669">
      <w:pPr>
        <w:pStyle w:val="ConsPlusNormal"/>
        <w:rPr>
          <w:sz w:val="22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84"/>
        <w:gridCol w:w="3574"/>
        <w:gridCol w:w="814"/>
        <w:gridCol w:w="1079"/>
        <w:gridCol w:w="1203"/>
        <w:gridCol w:w="1140"/>
        <w:gridCol w:w="1140"/>
      </w:tblGrid>
      <w:tr w:rsidR="006A1669" w:rsidRPr="000E0DDB">
        <w:trPr>
          <w:trHeight w:val="225"/>
        </w:trPr>
        <w:tc>
          <w:tcPr>
            <w:tcW w:w="540" w:type="dxa"/>
          </w:tcPr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4212" w:type="dxa"/>
          </w:tcPr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Наименование (характеристики)</w:t>
            </w:r>
          </w:p>
        </w:tc>
        <w:tc>
          <w:tcPr>
            <w:tcW w:w="972" w:type="dxa"/>
          </w:tcPr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Год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вып.</w:t>
            </w:r>
          </w:p>
        </w:tc>
        <w:tc>
          <w:tcPr>
            <w:tcW w:w="1296" w:type="dxa"/>
          </w:tcPr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Инв. номер</w:t>
            </w:r>
          </w:p>
        </w:tc>
        <w:tc>
          <w:tcPr>
            <w:tcW w:w="1404" w:type="dxa"/>
          </w:tcPr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Факт. и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нормат.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срок службы</w:t>
            </w:r>
          </w:p>
        </w:tc>
        <w:tc>
          <w:tcPr>
            <w:tcW w:w="1188" w:type="dxa"/>
          </w:tcPr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Первонач.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1188" w:type="dxa"/>
          </w:tcPr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Остат.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  <w:p w:rsidR="006A1669" w:rsidRPr="000E0DDB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</w:tr>
      <w:tr w:rsidR="006A1669" w:rsidRPr="000E0DDB">
        <w:trPr>
          <w:trHeight w:val="225"/>
        </w:trPr>
        <w:tc>
          <w:tcPr>
            <w:tcW w:w="540" w:type="dxa"/>
            <w:tcBorders>
              <w:top w:val="nil"/>
            </w:tcBorders>
          </w:tcPr>
          <w:p w:rsidR="006A1669" w:rsidRPr="000E0DDB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nil"/>
            </w:tcBorders>
          </w:tcPr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основного средства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(для автомототранспортного средства и других видов самоходной техники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дополнительно:                   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- марка, модель,                 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- идентификационный номер (VIN), 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- модель, номер двигателя,       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- номер шасси (рамы),            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- номер кузова,                  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- регистрационный номер,             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>- серия, номер паспорта транспортного</w:t>
            </w:r>
          </w:p>
          <w:p w:rsidR="006A1669" w:rsidRPr="000E0DDB" w:rsidRDefault="00B459FD" w:rsidP="00B459FD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0E0DDB">
              <w:rPr>
                <w:rFonts w:ascii="Times New Roman" w:hAnsi="Times New Roman" w:cs="Times New Roman"/>
                <w:sz w:val="22"/>
                <w:szCs w:val="22"/>
              </w:rPr>
              <w:t xml:space="preserve">средства (паспорта самоходной машины и других видов техники))             </w:t>
            </w:r>
          </w:p>
        </w:tc>
        <w:tc>
          <w:tcPr>
            <w:tcW w:w="972" w:type="dxa"/>
            <w:tcBorders>
              <w:top w:val="nil"/>
            </w:tcBorders>
          </w:tcPr>
          <w:p w:rsidR="006A1669" w:rsidRPr="000E0DDB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6A1669" w:rsidRPr="000E0DDB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04" w:type="dxa"/>
            <w:tcBorders>
              <w:top w:val="nil"/>
            </w:tcBorders>
          </w:tcPr>
          <w:p w:rsidR="006A1669" w:rsidRPr="000E0DDB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6A1669" w:rsidRPr="000E0DDB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88" w:type="dxa"/>
            <w:tcBorders>
              <w:top w:val="nil"/>
            </w:tcBorders>
          </w:tcPr>
          <w:p w:rsidR="006A1669" w:rsidRPr="000E0DDB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A1669" w:rsidRPr="00176D73" w:rsidRDefault="006A1669">
      <w:pPr>
        <w:pStyle w:val="ConsPlusNormal"/>
        <w:rPr>
          <w:szCs w:val="24"/>
        </w:rPr>
      </w:pPr>
    </w:p>
    <w:p w:rsidR="006A1669" w:rsidRPr="00176D73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_________________________________           ________________</w:t>
      </w:r>
    </w:p>
    <w:p w:rsidR="006A1669" w:rsidRPr="00176D73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(Ф.И.О. руководителя организации)                      (подпись)               М.П.</w:t>
      </w:r>
    </w:p>
    <w:p w:rsidR="006A1669" w:rsidRPr="00176D73" w:rsidRDefault="006A1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69" w:rsidRPr="00176D73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>Согласовано ________________________________________   __________  ________</w:t>
      </w:r>
    </w:p>
    <w:p w:rsidR="006A1669" w:rsidRPr="00176D73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6D7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176D73">
        <w:rPr>
          <w:rFonts w:ascii="Times New Roman" w:hAnsi="Times New Roman" w:cs="Times New Roman"/>
          <w:sz w:val="24"/>
          <w:szCs w:val="24"/>
        </w:rPr>
        <w:tab/>
        <w:t>(Ф.И.О. главного бухгалтера организации)           (подпись)       М.П.</w:t>
      </w:r>
    </w:p>
    <w:p w:rsidR="006A1669" w:rsidRDefault="006A1669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Default="00176D73">
      <w:pPr>
        <w:pStyle w:val="ConsPlusNormal"/>
        <w:ind w:firstLine="540"/>
        <w:jc w:val="both"/>
        <w:rPr>
          <w:szCs w:val="24"/>
        </w:rPr>
      </w:pPr>
    </w:p>
    <w:p w:rsidR="00176D73" w:rsidRPr="00176D73" w:rsidRDefault="00176D73">
      <w:pPr>
        <w:pStyle w:val="ConsPlusNormal"/>
        <w:ind w:firstLine="540"/>
        <w:jc w:val="both"/>
        <w:rPr>
          <w:szCs w:val="24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Pr="00B459FD" w:rsidRDefault="00B459FD">
      <w:pPr>
        <w:pStyle w:val="ConsPlusNormal"/>
        <w:jc w:val="right"/>
        <w:outlineLvl w:val="1"/>
        <w:rPr>
          <w:szCs w:val="24"/>
        </w:rPr>
      </w:pPr>
      <w:r w:rsidRPr="00B459FD">
        <w:rPr>
          <w:szCs w:val="24"/>
        </w:rPr>
        <w:t>Приложение № 2</w:t>
      </w:r>
    </w:p>
    <w:p w:rsidR="006A1669" w:rsidRDefault="00B459FD">
      <w:pPr>
        <w:pStyle w:val="ConsPlusNormal"/>
        <w:jc w:val="right"/>
      </w:pPr>
      <w:r w:rsidRPr="00B459FD">
        <w:rPr>
          <w:szCs w:val="24"/>
        </w:rPr>
        <w:t xml:space="preserve">к </w:t>
      </w:r>
      <w:hyperlink w:anchor="P33" w:tooltip="ПОРЯДОК">
        <w:r w:rsidRPr="00B459FD">
          <w:rPr>
            <w:szCs w:val="24"/>
          </w:rPr>
          <w:t>Порядку</w:t>
        </w:r>
      </w:hyperlink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Типовая форма № 2</w:t>
      </w:r>
    </w:p>
    <w:p w:rsid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письменного обращения организации при списании с бухгалтерского учета 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объектов недвижимого имущества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организации, реквизиты)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№ _____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6A1669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(обоснование списания основного средства)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rmal"/>
        <w:jc w:val="both"/>
        <w:rPr>
          <w:szCs w:val="24"/>
        </w:rPr>
      </w:pPr>
      <w:r>
        <w:rPr>
          <w:szCs w:val="24"/>
        </w:rPr>
        <w:t>_____________________________________________________________________________</w:t>
      </w:r>
    </w:p>
    <w:p w:rsidR="006A1669" w:rsidRDefault="00B459FD">
      <w:pPr>
        <w:pStyle w:val="ConsPlusNormal"/>
        <w:ind w:firstLine="540"/>
        <w:jc w:val="both"/>
        <w:rPr>
          <w:szCs w:val="24"/>
        </w:rPr>
      </w:pPr>
      <w:r>
        <w:rPr>
          <w:szCs w:val="24"/>
        </w:rPr>
        <w:t xml:space="preserve">  (информация о наличии денежных средств на осуществление сноса объекта                       недвижимого имущества)</w:t>
      </w:r>
    </w:p>
    <w:p w:rsidR="006A1669" w:rsidRDefault="006A1669">
      <w:pPr>
        <w:pStyle w:val="ConsPlusNormal"/>
        <w:rPr>
          <w:szCs w:val="24"/>
        </w:rPr>
      </w:pPr>
      <w:bookmarkStart w:id="2" w:name="P150"/>
      <w:bookmarkEnd w:id="2"/>
    </w:p>
    <w:tbl>
      <w:tblPr>
        <w:tblW w:w="955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288"/>
        <w:gridCol w:w="1354"/>
        <w:gridCol w:w="1224"/>
        <w:gridCol w:w="936"/>
        <w:gridCol w:w="1152"/>
        <w:gridCol w:w="864"/>
        <w:gridCol w:w="999"/>
        <w:gridCol w:w="864"/>
        <w:gridCol w:w="1080"/>
        <w:gridCol w:w="792"/>
      </w:tblGrid>
      <w:tr w:rsidR="006A1669">
        <w:trPr>
          <w:trHeight w:val="120"/>
        </w:trPr>
        <w:tc>
          <w:tcPr>
            <w:tcW w:w="288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35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Наименование,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краткая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характеристика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объекта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(площадь,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этажность,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физическое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состояние)</w:t>
            </w:r>
          </w:p>
        </w:tc>
        <w:tc>
          <w:tcPr>
            <w:tcW w:w="122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(местоположение)</w:t>
            </w:r>
          </w:p>
        </w:tc>
        <w:tc>
          <w:tcPr>
            <w:tcW w:w="936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 ввода в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эксплуатацию</w:t>
            </w:r>
          </w:p>
        </w:tc>
        <w:tc>
          <w:tcPr>
            <w:tcW w:w="1152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Дата принятия к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бухгалтерскому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учету (месяц,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год)</w:t>
            </w:r>
          </w:p>
        </w:tc>
        <w:tc>
          <w:tcPr>
            <w:tcW w:w="86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гос-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регистрации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</w:t>
            </w:r>
          </w:p>
        </w:tc>
        <w:tc>
          <w:tcPr>
            <w:tcW w:w="999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правах на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участок под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объектом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недвижимого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имущества</w:t>
            </w:r>
          </w:p>
        </w:tc>
        <w:tc>
          <w:tcPr>
            <w:tcW w:w="864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Инвентарный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номер</w:t>
            </w:r>
          </w:p>
        </w:tc>
        <w:tc>
          <w:tcPr>
            <w:tcW w:w="1080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Первоначальная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  <w:tc>
          <w:tcPr>
            <w:tcW w:w="792" w:type="dxa"/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Остаточная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стоимость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(руб.)</w:t>
            </w:r>
          </w:p>
        </w:tc>
      </w:tr>
      <w:tr w:rsidR="006A1669">
        <w:trPr>
          <w:trHeight w:val="120"/>
        </w:trPr>
        <w:tc>
          <w:tcPr>
            <w:tcW w:w="288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669">
        <w:trPr>
          <w:trHeight w:val="120"/>
        </w:trPr>
        <w:tc>
          <w:tcPr>
            <w:tcW w:w="288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5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92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6A1669" w:rsidRDefault="006A1669">
      <w:pPr>
        <w:jc w:val="right"/>
        <w:rPr>
          <w:iCs/>
          <w:sz w:val="24"/>
          <w:szCs w:val="24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pStyle w:val="ConsPlusNormal"/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           ________________</w:t>
      </w: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(Ф.И.О. руководителя организации)                     (подпись)               М.П.</w:t>
      </w:r>
    </w:p>
    <w:p w:rsidR="006A1669" w:rsidRDefault="006A1669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 ________________________________________   __________  ________</w:t>
      </w: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(Ф.И.О. главного бухгалтера организации)   (подпись)       М.П.</w:t>
      </w:r>
    </w:p>
    <w:p w:rsidR="006A1669" w:rsidRDefault="006A1669">
      <w:pPr>
        <w:jc w:val="right"/>
        <w:rPr>
          <w:iCs/>
          <w:sz w:val="22"/>
          <w:szCs w:val="22"/>
        </w:rPr>
      </w:pPr>
    </w:p>
    <w:p w:rsidR="006A1669" w:rsidRDefault="006A1669">
      <w:pPr>
        <w:jc w:val="right"/>
        <w:rPr>
          <w:iCs/>
          <w:szCs w:val="28"/>
        </w:rPr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6A1669" w:rsidRDefault="006A1669">
      <w:pPr>
        <w:pStyle w:val="ConsPlusNormal"/>
        <w:jc w:val="right"/>
        <w:outlineLvl w:val="1"/>
      </w:pPr>
    </w:p>
    <w:p w:rsidR="00B459FD" w:rsidRDefault="00B459FD">
      <w:pPr>
        <w:pStyle w:val="ConsPlusNormal"/>
        <w:jc w:val="right"/>
        <w:outlineLvl w:val="1"/>
        <w:sectPr w:rsidR="00B459FD" w:rsidSect="00176D73">
          <w:headerReference w:type="even" r:id="rId19"/>
          <w:headerReference w:type="default" r:id="rId20"/>
          <w:pgSz w:w="11906" w:h="16838"/>
          <w:pgMar w:top="851" w:right="851" w:bottom="851" w:left="1701" w:header="0" w:footer="0" w:gutter="0"/>
          <w:cols w:space="708"/>
          <w:titlePg/>
          <w:docGrid w:linePitch="381"/>
        </w:sectPr>
      </w:pPr>
    </w:p>
    <w:p w:rsidR="006A1669" w:rsidRDefault="00B459FD" w:rsidP="005D7E9E">
      <w:pPr>
        <w:pStyle w:val="ConsPlusNormal"/>
        <w:ind w:left="11199"/>
        <w:outlineLvl w:val="1"/>
      </w:pPr>
      <w:r>
        <w:lastRenderedPageBreak/>
        <w:t>П</w:t>
      </w:r>
      <w:bookmarkStart w:id="3" w:name="_GoBack"/>
      <w:bookmarkEnd w:id="3"/>
      <w:r>
        <w:t>риложение № 3</w:t>
      </w:r>
    </w:p>
    <w:p w:rsidR="006A1669" w:rsidRDefault="00B459FD" w:rsidP="006C7950">
      <w:pPr>
        <w:pStyle w:val="ConsPlusNormal"/>
        <w:ind w:left="11199"/>
      </w:pPr>
      <w:r>
        <w:t xml:space="preserve">к </w:t>
      </w:r>
      <w:hyperlink w:anchor="P33" w:tooltip="ПОРЯДОК">
        <w:r w:rsidRPr="00B459FD">
          <w:t>Порядку</w:t>
        </w:r>
      </w:hyperlink>
    </w:p>
    <w:p w:rsidR="000F037B" w:rsidRDefault="000F037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191"/>
      <w:bookmarkEnd w:id="4"/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 xml:space="preserve">Типовая форма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B459F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акта осмотра автомототранспортного средства</w:t>
      </w:r>
      <w:r w:rsidR="005D7E9E">
        <w:rPr>
          <w:rFonts w:ascii="Times New Roman" w:hAnsi="Times New Roman" w:cs="Times New Roman"/>
          <w:sz w:val="24"/>
          <w:szCs w:val="24"/>
        </w:rPr>
        <w:t xml:space="preserve"> </w:t>
      </w:r>
      <w:r w:rsidRPr="00B459FD">
        <w:rPr>
          <w:rFonts w:ascii="Times New Roman" w:hAnsi="Times New Roman" w:cs="Times New Roman"/>
          <w:sz w:val="24"/>
          <w:szCs w:val="24"/>
        </w:rPr>
        <w:t>и других видов самоходной техники</w:t>
      </w:r>
    </w:p>
    <w:p w:rsidR="006A1669" w:rsidRDefault="006A166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6A1669" w:rsidRPr="00B459FD" w:rsidRDefault="00B459FD" w:rsidP="005D7E9E">
      <w:pPr>
        <w:pStyle w:val="ConsPlusNonformat"/>
        <w:ind w:left="11199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УТВЕРЖДАЮ</w:t>
      </w:r>
    </w:p>
    <w:p w:rsidR="006A1669" w:rsidRPr="00B459FD" w:rsidRDefault="00B459FD" w:rsidP="005D7E9E">
      <w:pPr>
        <w:pStyle w:val="ConsPlusNonformat"/>
        <w:ind w:left="11199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Директор ______________</w:t>
      </w:r>
    </w:p>
    <w:p w:rsidR="006A1669" w:rsidRPr="00B459FD" w:rsidRDefault="00B459FD" w:rsidP="005D7E9E">
      <w:pPr>
        <w:pStyle w:val="ConsPlusNonformat"/>
        <w:ind w:left="11199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«____» ________________</w:t>
      </w: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Акт</w:t>
      </w:r>
    </w:p>
    <w:p w:rsidR="006A1669" w:rsidRPr="00B459FD" w:rsidRDefault="00B459F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B459FD">
        <w:rPr>
          <w:rFonts w:ascii="Times New Roman" w:hAnsi="Times New Roman" w:cs="Times New Roman"/>
          <w:sz w:val="24"/>
          <w:szCs w:val="24"/>
        </w:rPr>
        <w:t>осмотра автомототранспортного средства</w:t>
      </w:r>
      <w:r w:rsidR="005D7E9E">
        <w:rPr>
          <w:rFonts w:ascii="Times New Roman" w:hAnsi="Times New Roman" w:cs="Times New Roman"/>
          <w:sz w:val="24"/>
          <w:szCs w:val="24"/>
        </w:rPr>
        <w:t xml:space="preserve"> </w:t>
      </w:r>
      <w:r w:rsidRPr="00B459FD">
        <w:rPr>
          <w:rFonts w:ascii="Times New Roman" w:hAnsi="Times New Roman" w:cs="Times New Roman"/>
          <w:sz w:val="24"/>
          <w:szCs w:val="24"/>
        </w:rPr>
        <w:t>и других видов самоходной техники</w:t>
      </w:r>
    </w:p>
    <w:p w:rsidR="006A1669" w:rsidRDefault="006A1669">
      <w:pPr>
        <w:pStyle w:val="ConsPlusNormal"/>
        <w:rPr>
          <w:sz w:val="22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607"/>
        <w:gridCol w:w="1560"/>
        <w:gridCol w:w="1417"/>
        <w:gridCol w:w="1559"/>
        <w:gridCol w:w="850"/>
        <w:gridCol w:w="1336"/>
        <w:gridCol w:w="1984"/>
        <w:gridCol w:w="1276"/>
        <w:gridCol w:w="1276"/>
        <w:gridCol w:w="1134"/>
        <w:gridCol w:w="1276"/>
        <w:gridCol w:w="1559"/>
      </w:tblGrid>
      <w:tr w:rsidR="006A1669" w:rsidTr="005D7E9E">
        <w:trPr>
          <w:trHeight w:val="120"/>
        </w:trPr>
        <w:tc>
          <w:tcPr>
            <w:tcW w:w="607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560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Марка,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модель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ТС</w:t>
            </w:r>
          </w:p>
        </w:tc>
        <w:tc>
          <w:tcPr>
            <w:tcW w:w="1417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Инвентарный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Пробег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(с начала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эксплуатации)</w:t>
            </w:r>
          </w:p>
        </w:tc>
        <w:tc>
          <w:tcPr>
            <w:tcW w:w="2186" w:type="dxa"/>
            <w:gridSpan w:val="2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Расходы на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ремонт,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обслуживание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за последние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два года (без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з/пл.)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работников</w:t>
            </w:r>
          </w:p>
        </w:tc>
        <w:tc>
          <w:tcPr>
            <w:tcW w:w="1984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Сумма затрат,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необход. для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восстановл.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основн.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средства до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технически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исправн.</w:t>
            </w:r>
          </w:p>
        </w:tc>
        <w:tc>
          <w:tcPr>
            <w:tcW w:w="1276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Детали 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узлы,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требующие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кап.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ремонта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(замены)</w:t>
            </w:r>
          </w:p>
        </w:tc>
        <w:tc>
          <w:tcPr>
            <w:tcW w:w="1276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Детали 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узлы,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подлеж.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принятию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к бух.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учету</w:t>
            </w:r>
          </w:p>
        </w:tc>
        <w:tc>
          <w:tcPr>
            <w:tcW w:w="1134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Детали 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узлы,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подлеж.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принятию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к бух.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учету</w:t>
            </w:r>
          </w:p>
        </w:tc>
        <w:tc>
          <w:tcPr>
            <w:tcW w:w="1276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Масса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трансп.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средства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согласно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паспортн.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данным или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справочникам</w:t>
            </w:r>
          </w:p>
        </w:tc>
        <w:tc>
          <w:tcPr>
            <w:tcW w:w="1559" w:type="dxa"/>
            <w:vMerge w:val="restart"/>
          </w:tcPr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Вес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металлолома,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подлежащего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сдаче на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переработку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(определяется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главным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механиком или</w:t>
            </w:r>
          </w:p>
          <w:p w:rsidR="006A1669" w:rsidRPr="005D7E9E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D7E9E">
              <w:rPr>
                <w:rFonts w:ascii="Times New Roman" w:hAnsi="Times New Roman" w:cs="Times New Roman"/>
                <w:sz w:val="22"/>
                <w:szCs w:val="22"/>
              </w:rPr>
              <w:t>инженером)</w:t>
            </w:r>
          </w:p>
        </w:tc>
      </w:tr>
      <w:tr w:rsidR="006A1669" w:rsidTr="005D7E9E">
        <w:tc>
          <w:tcPr>
            <w:tcW w:w="607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период</w:t>
            </w:r>
          </w:p>
        </w:tc>
        <w:tc>
          <w:tcPr>
            <w:tcW w:w="1336" w:type="dxa"/>
            <w:tcBorders>
              <w:top w:val="nil"/>
            </w:tcBorders>
          </w:tcPr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сумма,</w:t>
            </w:r>
          </w:p>
          <w:p w:rsidR="006A1669" w:rsidRDefault="00B459FD" w:rsidP="00B459FD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т.р.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nil"/>
            </w:tcBorders>
          </w:tcPr>
          <w:p w:rsidR="006A1669" w:rsidRDefault="006A1669">
            <w:pPr>
              <w:rPr>
                <w:sz w:val="22"/>
                <w:szCs w:val="22"/>
              </w:rPr>
            </w:pPr>
          </w:p>
        </w:tc>
      </w:tr>
      <w:tr w:rsidR="006A1669" w:rsidTr="005D7E9E">
        <w:trPr>
          <w:trHeight w:val="120"/>
        </w:trPr>
        <w:tc>
          <w:tcPr>
            <w:tcW w:w="60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A1669" w:rsidTr="005D7E9E">
        <w:trPr>
          <w:trHeight w:val="120"/>
        </w:trPr>
        <w:tc>
          <w:tcPr>
            <w:tcW w:w="60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:rsidR="006A1669" w:rsidRDefault="006A1669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E0C57" w:rsidRDefault="00CE0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организации:</w:t>
      </w:r>
    </w:p>
    <w:p w:rsidR="00CE0C57" w:rsidRDefault="00CE0C5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A1669" w:rsidRDefault="00B459F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комиссии ___________________ (Ф.И.О.) ______________ (подпись)</w:t>
      </w:r>
    </w:p>
    <w:p w:rsidR="006A1669" w:rsidRDefault="006A166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459FD" w:rsidRDefault="00B459FD" w:rsidP="006C7950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Члены комиссии: _________________________ (Ф.И.О.) ______________ (подпись)</w:t>
      </w:r>
    </w:p>
    <w:p w:rsidR="009C1B97" w:rsidRDefault="009C1B97" w:rsidP="006C79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9C1B97" w:rsidRDefault="009C1B97" w:rsidP="006C7950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sectPr w:rsidR="009C1B97" w:rsidSect="009C1B97">
      <w:pgSz w:w="16838" w:h="11906" w:orient="landscape"/>
      <w:pgMar w:top="1474" w:right="244" w:bottom="851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1DF" w:rsidRDefault="004751DF">
      <w:r>
        <w:separator/>
      </w:r>
    </w:p>
  </w:endnote>
  <w:endnote w:type="continuationSeparator" w:id="0">
    <w:p w:rsidR="004751DF" w:rsidRDefault="00475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1DF" w:rsidRDefault="004751DF">
      <w:r>
        <w:separator/>
      </w:r>
    </w:p>
  </w:footnote>
  <w:footnote w:type="continuationSeparator" w:id="0">
    <w:p w:rsidR="004751DF" w:rsidRDefault="004751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FD" w:rsidRDefault="00B459FD">
    <w:pPr>
      <w:pStyle w:val="a9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459FD" w:rsidRDefault="00B459FD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59FD" w:rsidRDefault="00B459FD">
    <w:pPr>
      <w:pStyle w:val="a9"/>
      <w:jc w:val="both"/>
      <w:rPr>
        <w:sz w:val="20"/>
      </w:rPr>
    </w:pPr>
  </w:p>
  <w:p w:rsidR="00B459FD" w:rsidRDefault="00B459FD">
    <w:pPr>
      <w:pStyle w:val="a9"/>
      <w:jc w:val="both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75CCDB"/>
    <w:multiLevelType w:val="singleLevel"/>
    <w:tmpl w:val="5275CCDB"/>
    <w:lvl w:ilvl="0">
      <w:start w:val="1"/>
      <w:numFmt w:val="decimal"/>
      <w:suff w:val="space"/>
      <w:lvlText w:val="%1."/>
      <w:lvlJc w:val="left"/>
      <w:pPr>
        <w:ind w:left="60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6782"/>
    <w:rsid w:val="000C0C31"/>
    <w:rsid w:val="000D5629"/>
    <w:rsid w:val="000E0DDB"/>
    <w:rsid w:val="000F037B"/>
    <w:rsid w:val="00111908"/>
    <w:rsid w:val="00126D3B"/>
    <w:rsid w:val="001537DB"/>
    <w:rsid w:val="00176D73"/>
    <w:rsid w:val="00181B0F"/>
    <w:rsid w:val="001B0A16"/>
    <w:rsid w:val="001C6738"/>
    <w:rsid w:val="001C7993"/>
    <w:rsid w:val="002250FC"/>
    <w:rsid w:val="00252E4D"/>
    <w:rsid w:val="00287857"/>
    <w:rsid w:val="002C0759"/>
    <w:rsid w:val="0032039E"/>
    <w:rsid w:val="003949E3"/>
    <w:rsid w:val="00396C85"/>
    <w:rsid w:val="003B442E"/>
    <w:rsid w:val="003C4971"/>
    <w:rsid w:val="003C78DF"/>
    <w:rsid w:val="003D18A9"/>
    <w:rsid w:val="004371AA"/>
    <w:rsid w:val="004751DF"/>
    <w:rsid w:val="004A534B"/>
    <w:rsid w:val="005225D0"/>
    <w:rsid w:val="00523614"/>
    <w:rsid w:val="00536854"/>
    <w:rsid w:val="005414A2"/>
    <w:rsid w:val="005566CD"/>
    <w:rsid w:val="005648F7"/>
    <w:rsid w:val="005649A2"/>
    <w:rsid w:val="00581193"/>
    <w:rsid w:val="005B7641"/>
    <w:rsid w:val="005C4C93"/>
    <w:rsid w:val="005D7E9E"/>
    <w:rsid w:val="00610603"/>
    <w:rsid w:val="00672495"/>
    <w:rsid w:val="006776D9"/>
    <w:rsid w:val="00677EE8"/>
    <w:rsid w:val="006A1669"/>
    <w:rsid w:val="006C7950"/>
    <w:rsid w:val="006E0B7B"/>
    <w:rsid w:val="006F352F"/>
    <w:rsid w:val="008107A3"/>
    <w:rsid w:val="00845615"/>
    <w:rsid w:val="008635E8"/>
    <w:rsid w:val="008B11ED"/>
    <w:rsid w:val="009476F7"/>
    <w:rsid w:val="00974C24"/>
    <w:rsid w:val="00980B86"/>
    <w:rsid w:val="009A2CC9"/>
    <w:rsid w:val="009A4B3F"/>
    <w:rsid w:val="009A4C89"/>
    <w:rsid w:val="009B4DA6"/>
    <w:rsid w:val="009C1B97"/>
    <w:rsid w:val="009E0EEA"/>
    <w:rsid w:val="009E53F2"/>
    <w:rsid w:val="00A12601"/>
    <w:rsid w:val="00A4366D"/>
    <w:rsid w:val="00A61389"/>
    <w:rsid w:val="00A93C2D"/>
    <w:rsid w:val="00A93C35"/>
    <w:rsid w:val="00AA2D8A"/>
    <w:rsid w:val="00AB4893"/>
    <w:rsid w:val="00AE114F"/>
    <w:rsid w:val="00AF6DB8"/>
    <w:rsid w:val="00B21D24"/>
    <w:rsid w:val="00B26A28"/>
    <w:rsid w:val="00B459FD"/>
    <w:rsid w:val="00B50407"/>
    <w:rsid w:val="00B86331"/>
    <w:rsid w:val="00BA24B8"/>
    <w:rsid w:val="00BC080E"/>
    <w:rsid w:val="00BE3418"/>
    <w:rsid w:val="00C121D6"/>
    <w:rsid w:val="00C14C07"/>
    <w:rsid w:val="00C21578"/>
    <w:rsid w:val="00C31103"/>
    <w:rsid w:val="00C729F5"/>
    <w:rsid w:val="00CC63FF"/>
    <w:rsid w:val="00CC7368"/>
    <w:rsid w:val="00CE0C57"/>
    <w:rsid w:val="00CF3CCF"/>
    <w:rsid w:val="00D25107"/>
    <w:rsid w:val="00D60B83"/>
    <w:rsid w:val="00D8738E"/>
    <w:rsid w:val="00DC6C63"/>
    <w:rsid w:val="00DD48C3"/>
    <w:rsid w:val="00DE4AC9"/>
    <w:rsid w:val="00E379A6"/>
    <w:rsid w:val="00E541A5"/>
    <w:rsid w:val="00E55E3D"/>
    <w:rsid w:val="00E6373C"/>
    <w:rsid w:val="00EB4C65"/>
    <w:rsid w:val="00EB5E5C"/>
    <w:rsid w:val="00EF11AB"/>
    <w:rsid w:val="00EF73E1"/>
    <w:rsid w:val="00F11C6C"/>
    <w:rsid w:val="00F257D8"/>
    <w:rsid w:val="00F435BB"/>
    <w:rsid w:val="00F72C43"/>
    <w:rsid w:val="00FC1EED"/>
    <w:rsid w:val="01087919"/>
    <w:rsid w:val="040442BF"/>
    <w:rsid w:val="04603BD9"/>
    <w:rsid w:val="0624694E"/>
    <w:rsid w:val="06830D72"/>
    <w:rsid w:val="0DD326C0"/>
    <w:rsid w:val="0E7E712E"/>
    <w:rsid w:val="11F92A82"/>
    <w:rsid w:val="2A4105B3"/>
    <w:rsid w:val="2E4F33F3"/>
    <w:rsid w:val="3929740D"/>
    <w:rsid w:val="44232250"/>
    <w:rsid w:val="4F101751"/>
    <w:rsid w:val="578822EE"/>
    <w:rsid w:val="5A4926F4"/>
    <w:rsid w:val="5AB771E8"/>
    <w:rsid w:val="5D145092"/>
    <w:rsid w:val="640F10CD"/>
    <w:rsid w:val="642A67B0"/>
    <w:rsid w:val="65981AAC"/>
    <w:rsid w:val="6A4511D9"/>
    <w:rsid w:val="74511EBE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iPriority="0" w:unhideWhenUsed="0" w:qFormat="1"/>
    <w:lsdException w:name="footer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page number"/>
    <w:basedOn w:val="a0"/>
    <w:qFormat/>
  </w:style>
  <w:style w:type="paragraph" w:styleId="a6">
    <w:name w:val="Balloon Text"/>
    <w:basedOn w:val="a"/>
    <w:link w:val="a7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8">
    <w:name w:val="footnote text"/>
    <w:basedOn w:val="a"/>
    <w:uiPriority w:val="99"/>
    <w:unhideWhenUsed/>
    <w:qFormat/>
    <w:rPr>
      <w:sz w:val="20"/>
      <w:szCs w:val="24"/>
    </w:rPr>
  </w:style>
  <w:style w:type="paragraph" w:styleId="a9">
    <w:name w:val="header"/>
    <w:basedOn w:val="a"/>
    <w:link w:val="aa"/>
    <w:qFormat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</w:pPr>
  </w:style>
  <w:style w:type="paragraph" w:styleId="ad">
    <w:name w:val="Normal (Web)"/>
    <w:uiPriority w:val="99"/>
    <w:semiHidden/>
    <w:unhideWhenUsed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HTML">
    <w:name w:val="HTML Preformatted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SimSun" w:hAnsi="SimSun" w:hint="eastAsia"/>
      <w:sz w:val="24"/>
      <w:szCs w:val="24"/>
      <w:lang w:val="en-US" w:eastAsia="zh-CN"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Arial" w:eastAsiaTheme="minorEastAsia" w:hAnsi="Arial" w:cs="Arial"/>
      <w:b/>
      <w:sz w:val="24"/>
      <w:szCs w:val="22"/>
    </w:rPr>
  </w:style>
  <w:style w:type="paragraph" w:customStyle="1" w:styleId="ConsPlusNonformat">
    <w:name w:val="ConsPlusNonformat"/>
    <w:qFormat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6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95125&amp;date=20.11.2025" TargetMode="External"/><Relationship Id="rId18" Type="http://schemas.openxmlformats.org/officeDocument/2006/relationships/hyperlink" Target="https://login.consultant.ru/link/?req=doc&amp;base=LAW&amp;n=41013&amp;dst=100193&amp;field=134&amp;date=19.11.2025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508490&amp;dst=170&amp;field=134&amp;date=20.11.2025" TargetMode="External"/><Relationship Id="rId17" Type="http://schemas.openxmlformats.org/officeDocument/2006/relationships/hyperlink" Target="https://login.consultant.ru/link/?req=doc&amp;base=RLAW086&amp;n=57215&amp;dst=100021&amp;field=134&amp;date=19.11.202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86&amp;n=57215&amp;dst=100021&amp;field=134&amp;date=19.11.2025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508490&amp;dst=37&amp;field=134&amp;date=20.11.202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86&amp;n=57215&amp;dst=100021&amp;field=134&amp;date=19.11.2025" TargetMode="External"/><Relationship Id="rId10" Type="http://schemas.openxmlformats.org/officeDocument/2006/relationships/hyperlink" Target="https://login.consultant.ru/link/?req=doc&amp;base=LAW&amp;n=508490&amp;dst=101488&amp;field=134&amp;date=20.11.2025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login.consultant.ru/link/?req=doc&amp;base=RLAW086&amp;n=57215&amp;dst=100083&amp;field=134&amp;date=19.11.202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71E08-A3EA-4F1C-84F8-0AE198CB0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3015</Words>
  <Characters>17190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prokofieva</cp:lastModifiedBy>
  <cp:revision>23</cp:revision>
  <cp:lastPrinted>2026-02-26T09:59:00Z</cp:lastPrinted>
  <dcterms:created xsi:type="dcterms:W3CDTF">2023-12-14T14:18:00Z</dcterms:created>
  <dcterms:modified xsi:type="dcterms:W3CDTF">2026-02-26T09:59:00Z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674F77F5AB484279A3F5FE9C39246031_13</vt:lpwstr>
  </property>
</Properties>
</file>