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9" w:rsidRDefault="008D4859" w:rsidP="006C5A28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8D4859" w:rsidRDefault="008D4859" w:rsidP="006C5A28">
      <w:pPr>
        <w:jc w:val="right"/>
        <w:rPr>
          <w:sz w:val="28"/>
        </w:rPr>
      </w:pPr>
      <w:r>
        <w:rPr>
          <w:sz w:val="28"/>
        </w:rPr>
        <w:t>к постановлению  Председателя</w:t>
      </w:r>
    </w:p>
    <w:p w:rsidR="008D4859" w:rsidRDefault="008D4859" w:rsidP="006C5A28">
      <w:pPr>
        <w:jc w:val="right"/>
        <w:rPr>
          <w:sz w:val="28"/>
        </w:rPr>
      </w:pPr>
      <w:r>
        <w:rPr>
          <w:sz w:val="28"/>
        </w:rPr>
        <w:t>Муниципального  Совета  городского</w:t>
      </w:r>
    </w:p>
    <w:p w:rsidR="008D4859" w:rsidRDefault="008D4859" w:rsidP="006C5A28">
      <w:pPr>
        <w:jc w:val="right"/>
        <w:rPr>
          <w:sz w:val="28"/>
        </w:rPr>
      </w:pPr>
      <w:r>
        <w:rPr>
          <w:sz w:val="28"/>
        </w:rPr>
        <w:t>поселения  Тутаев</w:t>
      </w:r>
    </w:p>
    <w:p w:rsidR="00BF2828" w:rsidRDefault="00BF2828" w:rsidP="006C5A28">
      <w:pPr>
        <w:jc w:val="right"/>
        <w:rPr>
          <w:sz w:val="28"/>
        </w:rPr>
      </w:pPr>
      <w:r>
        <w:rPr>
          <w:sz w:val="28"/>
        </w:rPr>
        <w:t>от_____________№______</w:t>
      </w:r>
    </w:p>
    <w:p w:rsidR="008D4859" w:rsidRDefault="008D4859" w:rsidP="006C5A28">
      <w:pPr>
        <w:jc w:val="right"/>
        <w:rPr>
          <w:sz w:val="28"/>
        </w:rPr>
      </w:pPr>
    </w:p>
    <w:p w:rsidR="006C5A28" w:rsidRDefault="006C5A28" w:rsidP="006C5A28">
      <w:pPr>
        <w:jc w:val="right"/>
        <w:rPr>
          <w:sz w:val="28"/>
        </w:rPr>
      </w:pPr>
      <w:r>
        <w:rPr>
          <w:sz w:val="28"/>
        </w:rPr>
        <w:t>ПРОЕКТ</w:t>
      </w:r>
    </w:p>
    <w:p w:rsidR="006C5A28" w:rsidRDefault="006C5A28" w:rsidP="006C5A28">
      <w:pPr>
        <w:jc w:val="right"/>
        <w:rPr>
          <w:sz w:val="28"/>
        </w:rPr>
      </w:pPr>
      <w:proofErr w:type="gramStart"/>
      <w:r>
        <w:rPr>
          <w:sz w:val="28"/>
        </w:rPr>
        <w:t>внесен</w:t>
      </w:r>
      <w:proofErr w:type="gramEnd"/>
      <w:r w:rsidR="00B16E00">
        <w:rPr>
          <w:sz w:val="28"/>
        </w:rPr>
        <w:t xml:space="preserve"> Главой  Тутаевского  муниципального  района</w:t>
      </w:r>
    </w:p>
    <w:p w:rsidR="006C5A28" w:rsidRDefault="00B16E00" w:rsidP="006C5A28">
      <w:pPr>
        <w:jc w:val="right"/>
        <w:rPr>
          <w:sz w:val="28"/>
        </w:rPr>
      </w:pPr>
      <w:r>
        <w:rPr>
          <w:sz w:val="28"/>
        </w:rPr>
        <w:t>Д.Р. Юнусовым</w:t>
      </w:r>
    </w:p>
    <w:p w:rsidR="006C5A28" w:rsidRDefault="006C5A28" w:rsidP="006C5A28">
      <w:pPr>
        <w:jc w:val="right"/>
        <w:rPr>
          <w:sz w:val="28"/>
        </w:rPr>
      </w:pPr>
    </w:p>
    <w:p w:rsidR="006C5A28" w:rsidRDefault="006C5A28" w:rsidP="006C5A28">
      <w:pPr>
        <w:jc w:val="right"/>
        <w:rPr>
          <w:sz w:val="28"/>
        </w:rPr>
      </w:pPr>
      <w:r>
        <w:rPr>
          <w:sz w:val="28"/>
        </w:rPr>
        <w:t>_____________________</w:t>
      </w:r>
    </w:p>
    <w:p w:rsidR="006C5A28" w:rsidRDefault="006C5A28" w:rsidP="006C5A28">
      <w:pPr>
        <w:jc w:val="right"/>
        <w:rPr>
          <w:sz w:val="28"/>
        </w:rPr>
      </w:pPr>
      <w:r>
        <w:rPr>
          <w:sz w:val="28"/>
        </w:rPr>
        <w:t>(подпись)</w:t>
      </w:r>
    </w:p>
    <w:p w:rsidR="006C5A28" w:rsidRDefault="006C5A28" w:rsidP="006C5A28">
      <w:pPr>
        <w:jc w:val="right"/>
        <w:rPr>
          <w:sz w:val="28"/>
        </w:rPr>
      </w:pPr>
    </w:p>
    <w:p w:rsidR="006C5A28" w:rsidRDefault="002F6FE4" w:rsidP="006C5A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 2019</w:t>
      </w:r>
    </w:p>
    <w:p w:rsidR="006C5A28" w:rsidRDefault="006C5A28" w:rsidP="006C5A28">
      <w:pPr>
        <w:jc w:val="center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6C5A28" w:rsidTr="006C5A28">
        <w:trPr>
          <w:trHeight w:val="1967"/>
        </w:trPr>
        <w:tc>
          <w:tcPr>
            <w:tcW w:w="1908" w:type="dxa"/>
            <w:hideMark/>
          </w:tcPr>
          <w:p w:rsidR="006C5A28" w:rsidRDefault="006C5A28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0" t="0" r="3175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8" w:type="dxa"/>
            <w:vAlign w:val="center"/>
          </w:tcPr>
          <w:p w:rsidR="006C5A28" w:rsidRDefault="006C5A28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                  РЕШЕНИЕ</w:t>
            </w:r>
          </w:p>
          <w:p w:rsidR="006C5A28" w:rsidRDefault="006C5A2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МУНИЦИПАЛЬНОГО СОВЕТА </w:t>
            </w:r>
          </w:p>
          <w:p w:rsidR="006C5A28" w:rsidRDefault="006C5A2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ГОРОДСКОГО ПОСЕЛЕНИЯ ТУТАЕВ</w:t>
            </w:r>
          </w:p>
          <w:p w:rsidR="006C5A28" w:rsidRDefault="006C5A28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  <w:p w:rsidR="006C5A28" w:rsidRDefault="002F6FE4">
            <w:pPr>
              <w:spacing w:line="276" w:lineRule="auto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_</w:t>
            </w:r>
            <w:r w:rsidR="00E82D5F">
              <w:rPr>
                <w:b/>
                <w:i/>
                <w:sz w:val="28"/>
                <w:lang w:eastAsia="en-US"/>
              </w:rPr>
              <w:t>__</w:t>
            </w:r>
            <w:r>
              <w:rPr>
                <w:b/>
                <w:i/>
                <w:sz w:val="28"/>
                <w:lang w:eastAsia="en-US"/>
              </w:rPr>
              <w:t>_.___.2019</w:t>
            </w:r>
            <w:r w:rsidR="00E82D5F">
              <w:rPr>
                <w:b/>
                <w:i/>
                <w:sz w:val="28"/>
                <w:lang w:eastAsia="en-US"/>
              </w:rPr>
              <w:t xml:space="preserve"> </w:t>
            </w:r>
            <w:r w:rsidR="006C5A28">
              <w:rPr>
                <w:b/>
                <w:i/>
                <w:sz w:val="28"/>
                <w:lang w:eastAsia="en-US"/>
              </w:rPr>
              <w:t xml:space="preserve">г.                                                       </w:t>
            </w:r>
            <w:r w:rsidR="006C5A28">
              <w:rPr>
                <w:b/>
                <w:i/>
                <w:sz w:val="32"/>
                <w:szCs w:val="32"/>
                <w:lang w:eastAsia="en-US"/>
              </w:rPr>
              <w:t>№ ___</w:t>
            </w:r>
          </w:p>
          <w:p w:rsidR="006C5A28" w:rsidRDefault="006C5A28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</w:tr>
    </w:tbl>
    <w:p w:rsidR="006C5A28" w:rsidRDefault="006C5A28" w:rsidP="006C5A28">
      <w:pPr>
        <w:jc w:val="right"/>
        <w:rPr>
          <w:sz w:val="28"/>
        </w:rPr>
      </w:pPr>
    </w:p>
    <w:p w:rsidR="006C5A28" w:rsidRDefault="006C5A28" w:rsidP="006C5A2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6C5A28" w:rsidRDefault="006C5A28" w:rsidP="006C5A28">
      <w:pPr>
        <w:rPr>
          <w:sz w:val="28"/>
          <w:szCs w:val="28"/>
        </w:rPr>
      </w:pPr>
      <w:r>
        <w:rPr>
          <w:sz w:val="28"/>
          <w:szCs w:val="28"/>
        </w:rPr>
        <w:t>Правила  благоустройства</w:t>
      </w:r>
    </w:p>
    <w:p w:rsidR="006C5A28" w:rsidRDefault="006C5A28" w:rsidP="0021785A">
      <w:r>
        <w:rPr>
          <w:sz w:val="28"/>
          <w:szCs w:val="28"/>
        </w:rPr>
        <w:t>городского  поселения  Тутаев</w:t>
      </w:r>
    </w:p>
    <w:p w:rsidR="006C5A28" w:rsidRDefault="006C5A28" w:rsidP="006C5A28">
      <w:pPr>
        <w:pStyle w:val="21"/>
      </w:pPr>
    </w:p>
    <w:p w:rsidR="006C5A28" w:rsidRDefault="006C5A28" w:rsidP="006C5A28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407BF">
        <w:t>,</w:t>
      </w:r>
      <w:r w:rsidR="00E82D5F">
        <w:t xml:space="preserve"> Федеральным законом № 38-ФЗ от 13.03.2006 «О рекламе»,</w:t>
      </w:r>
      <w:r w:rsidR="005407BF">
        <w:t xml:space="preserve"> Законом  Ярославской  области от 20.12.2018 № 90-з «О  порядке  определения  органами  местного  самоуправления  муниципальных  образований  Ярославской  области  границ  прилегающих  территорий»</w:t>
      </w:r>
      <w:r>
        <w:t xml:space="preserve"> Муниципальный Совет городского поселения Тутаев</w:t>
      </w:r>
    </w:p>
    <w:p w:rsidR="006C5A28" w:rsidRDefault="006C5A28" w:rsidP="006C5A28">
      <w:pPr>
        <w:pStyle w:val="21"/>
      </w:pPr>
    </w:p>
    <w:p w:rsidR="006C5A28" w:rsidRDefault="006C5A28" w:rsidP="006C5A28">
      <w:pPr>
        <w:pStyle w:val="21"/>
      </w:pPr>
      <w:r>
        <w:t>РЕШИЛ:</w:t>
      </w:r>
    </w:p>
    <w:p w:rsidR="006C5A28" w:rsidRDefault="006C5A28" w:rsidP="006C5A28">
      <w:pPr>
        <w:pStyle w:val="21"/>
      </w:pPr>
    </w:p>
    <w:p w:rsidR="006C5A28" w:rsidRDefault="006C5A2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D238AC">
        <w:rPr>
          <w:sz w:val="28"/>
        </w:rPr>
        <w:t xml:space="preserve"> </w:t>
      </w:r>
      <w:r>
        <w:rPr>
          <w:sz w:val="28"/>
        </w:rPr>
        <w:t>Внести  в Правила  благоустройства  городского  поселения  Тутаев, утвержденные  решением Муниципального  Совета городского поселения Тутаев от 22.03.2018  № 236 «Об утверждении  Правил благоустройства городского поселения Тутаев»</w:t>
      </w:r>
      <w:r>
        <w:rPr>
          <w:sz w:val="28"/>
          <w:szCs w:val="28"/>
        </w:rPr>
        <w:t>, следующие изменения:</w:t>
      </w:r>
    </w:p>
    <w:p w:rsidR="00362B7B" w:rsidRDefault="00362B7B" w:rsidP="006C5A28">
      <w:pPr>
        <w:ind w:left="142" w:firstLine="567"/>
        <w:jc w:val="both"/>
        <w:rPr>
          <w:sz w:val="28"/>
          <w:szCs w:val="28"/>
        </w:rPr>
      </w:pPr>
    </w:p>
    <w:p w:rsidR="00207C08" w:rsidRDefault="00362B7B" w:rsidP="00207C0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 10  пункта  1.6. изложить  в  следующей  редакции:</w:t>
      </w:r>
    </w:p>
    <w:p w:rsidR="008F3899" w:rsidRDefault="008F3899" w:rsidP="00207C08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62B7B" w:rsidRDefault="00362B7B" w:rsidP="006C5A28">
      <w:pPr>
        <w:ind w:left="142" w:firstLine="567"/>
        <w:jc w:val="both"/>
        <w:rPr>
          <w:sz w:val="28"/>
          <w:szCs w:val="28"/>
        </w:rPr>
      </w:pPr>
    </w:p>
    <w:p w:rsidR="00CA4E07" w:rsidRDefault="00362B7B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="00D238AC">
        <w:rPr>
          <w:sz w:val="28"/>
          <w:szCs w:val="28"/>
        </w:rPr>
        <w:t xml:space="preserve"> </w:t>
      </w:r>
      <w:r w:rsidR="00EF2EA9">
        <w:rPr>
          <w:sz w:val="28"/>
          <w:szCs w:val="28"/>
        </w:rPr>
        <w:t xml:space="preserve">прилегающая  территория – территория  общего  </w:t>
      </w:r>
      <w:r w:rsidR="00DD35AD">
        <w:rPr>
          <w:sz w:val="28"/>
          <w:szCs w:val="28"/>
        </w:rPr>
        <w:t xml:space="preserve">пользования, примыкающая  к  границе здания, строения, сооружения, находящегося  на  земельном </w:t>
      </w:r>
      <w:r w:rsidR="00CA4E07">
        <w:rPr>
          <w:sz w:val="28"/>
          <w:szCs w:val="28"/>
        </w:rPr>
        <w:t xml:space="preserve">  </w:t>
      </w:r>
      <w:r w:rsidR="00DD35AD">
        <w:rPr>
          <w:sz w:val="28"/>
          <w:szCs w:val="28"/>
        </w:rPr>
        <w:t xml:space="preserve"> участке,</w:t>
      </w:r>
      <w:r w:rsidR="00CA4E07">
        <w:rPr>
          <w:sz w:val="28"/>
          <w:szCs w:val="28"/>
        </w:rPr>
        <w:t xml:space="preserve">  </w:t>
      </w:r>
      <w:r w:rsidR="00DD35AD">
        <w:rPr>
          <w:sz w:val="28"/>
          <w:szCs w:val="28"/>
        </w:rPr>
        <w:t xml:space="preserve"> сведения  </w:t>
      </w:r>
      <w:r w:rsidR="00CA4E07">
        <w:rPr>
          <w:sz w:val="28"/>
          <w:szCs w:val="28"/>
        </w:rPr>
        <w:t xml:space="preserve">  </w:t>
      </w:r>
      <w:r w:rsidR="00DD35AD">
        <w:rPr>
          <w:sz w:val="28"/>
          <w:szCs w:val="28"/>
        </w:rPr>
        <w:t xml:space="preserve">о </w:t>
      </w:r>
      <w:r w:rsidR="00CA4E07">
        <w:rPr>
          <w:sz w:val="28"/>
          <w:szCs w:val="28"/>
        </w:rPr>
        <w:t xml:space="preserve">   </w:t>
      </w:r>
      <w:r w:rsidR="00DD35AD">
        <w:rPr>
          <w:sz w:val="28"/>
          <w:szCs w:val="28"/>
        </w:rPr>
        <w:t xml:space="preserve">местоположении  </w:t>
      </w:r>
      <w:r w:rsidR="00CA4E07">
        <w:rPr>
          <w:sz w:val="28"/>
          <w:szCs w:val="28"/>
        </w:rPr>
        <w:t xml:space="preserve">  </w:t>
      </w:r>
      <w:r w:rsidR="00DD35AD">
        <w:rPr>
          <w:sz w:val="28"/>
          <w:szCs w:val="28"/>
        </w:rPr>
        <w:t xml:space="preserve">границ </w:t>
      </w:r>
      <w:r w:rsidR="00CA4E07">
        <w:rPr>
          <w:sz w:val="28"/>
          <w:szCs w:val="28"/>
        </w:rPr>
        <w:t xml:space="preserve">   </w:t>
      </w:r>
      <w:r w:rsidR="00DD35AD">
        <w:rPr>
          <w:sz w:val="28"/>
          <w:szCs w:val="28"/>
        </w:rPr>
        <w:t xml:space="preserve"> которого</w:t>
      </w:r>
    </w:p>
    <w:p w:rsidR="00362B7B" w:rsidRDefault="00DD35AD" w:rsidP="00B4228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 в  Единый  государственный  реестр  недвижимости, а  также  </w:t>
      </w:r>
      <w:proofErr w:type="gramStart"/>
      <w:r>
        <w:rPr>
          <w:sz w:val="28"/>
          <w:szCs w:val="28"/>
        </w:rPr>
        <w:t>примыкаю</w:t>
      </w:r>
      <w:bookmarkStart w:id="0" w:name="_GoBack"/>
      <w:bookmarkEnd w:id="0"/>
      <w:r>
        <w:rPr>
          <w:sz w:val="28"/>
          <w:szCs w:val="28"/>
        </w:rPr>
        <w:t>щая</w:t>
      </w:r>
      <w:proofErr w:type="gramEnd"/>
      <w:r>
        <w:rPr>
          <w:sz w:val="28"/>
          <w:szCs w:val="28"/>
        </w:rPr>
        <w:t xml:space="preserve">  к  земельному  участку, </w:t>
      </w:r>
      <w:r w:rsidR="00B63694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 о  местоположении  границ  которого  внесены  в  Единый  государственный  реестр  недвижимости,  на  расстоянии  10  метров  от  границ  земельного  участка  по  его  периметру, если  иное  не  установлено  Правилами. </w:t>
      </w:r>
      <w:r w:rsidR="00EB3D55">
        <w:rPr>
          <w:sz w:val="28"/>
          <w:szCs w:val="28"/>
        </w:rPr>
        <w:t>В  иных</w:t>
      </w:r>
      <w:r w:rsidR="005C6F25">
        <w:rPr>
          <w:sz w:val="28"/>
          <w:szCs w:val="28"/>
        </w:rPr>
        <w:t>, не  предусмотренных  настоящим  подпунктом  Правил</w:t>
      </w:r>
      <w:r w:rsidR="00EB3D55">
        <w:rPr>
          <w:sz w:val="28"/>
          <w:szCs w:val="28"/>
        </w:rPr>
        <w:t xml:space="preserve">  случаях, граница  прилегающей  территории  определяется  на  расстоянии  15  метров  от  границ  зданий, строений, сооружений  по  их  периметру, если  иное  не  установлено  Правилами.</w:t>
      </w:r>
      <w:r w:rsidR="005C6F25">
        <w:rPr>
          <w:sz w:val="28"/>
          <w:szCs w:val="28"/>
        </w:rPr>
        <w:t xml:space="preserve">  Границей  прилегающей  территории, находящейся  вблизи  дорог  на  расстоянии  менее  10  метров  от  основной  территории,  является  кромка  покрытия  проезжей  части  улицы  или  бортовой  камень.</w:t>
      </w:r>
    </w:p>
    <w:p w:rsidR="00E762E3" w:rsidRDefault="005C6F25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случае</w:t>
      </w:r>
      <w:proofErr w:type="gramStart"/>
      <w:r w:rsidR="00D67DD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при  определении  границ  прилегающих  территорий  происходит  наложение  прилегающих  территорий  земельных  участков, зданий, строений,  сооружений  на  прилегающие  территории  других  земельных  участков</w:t>
      </w:r>
      <w:r w:rsidR="00D67DDD">
        <w:rPr>
          <w:sz w:val="28"/>
          <w:szCs w:val="28"/>
        </w:rPr>
        <w:t>, зданий, строений,  сооружений,  границы  прилегающих  территорий  определяются  по  линии, проходящей  на  равном  удалении   от  границ  наложения  прилегающей  территории  соответствующих  земельных  участков, зданий,  строений  сооружений;»;</w:t>
      </w:r>
    </w:p>
    <w:p w:rsidR="00E762E3" w:rsidRDefault="00E762E3" w:rsidP="006C5A28">
      <w:pPr>
        <w:ind w:left="142" w:firstLine="567"/>
        <w:jc w:val="both"/>
        <w:rPr>
          <w:sz w:val="28"/>
          <w:szCs w:val="28"/>
        </w:rPr>
      </w:pPr>
    </w:p>
    <w:p w:rsidR="00C62648" w:rsidRDefault="00C6264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2.10.5  пункта 2.10. изложить  в  следующей  редакции:</w:t>
      </w:r>
    </w:p>
    <w:p w:rsidR="00C62648" w:rsidRDefault="00C6264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«2.10.5. Установка  ограждений (заборов) не  допускается  без  согласования  с  управлением  архитектуры  и  градостроительства  Администрации  Тутаевского  муниципального  района, в  порядке, утвержденном  постановлением  Администрации  Тутаевского  муниципального 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C62648" w:rsidRDefault="00C62648" w:rsidP="006C5A28">
      <w:pPr>
        <w:ind w:left="142" w:firstLine="567"/>
        <w:jc w:val="both"/>
        <w:rPr>
          <w:sz w:val="28"/>
          <w:szCs w:val="28"/>
        </w:rPr>
      </w:pPr>
    </w:p>
    <w:p w:rsidR="00C62648" w:rsidRDefault="00C6264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 2.10.6  пункта  2.10. изложить  в  следующей  редакции:</w:t>
      </w:r>
    </w:p>
    <w:p w:rsidR="00650FD8" w:rsidRDefault="00C6264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«2.10.6. На  участках  жилых  домов,  находящихся  в  частном  владении,  а  также  в  районах  малоэтажной  усадебной  застройки  </w:t>
      </w:r>
      <w:r w:rsidR="00650FD8">
        <w:rPr>
          <w:sz w:val="28"/>
          <w:szCs w:val="28"/>
        </w:rPr>
        <w:t>допускается  применение  различных  видов  ограждений  высотой  не  более  двух  метров,  по  проекту, согласованному  с  управлением  архитектуры  и  градостроительства  Администрации  Тутаевского  муниципального  района, в  порядке,  утвержденном  постановлением  Администрации  Тутаевского  муниципального  района</w:t>
      </w:r>
      <w:proofErr w:type="gramStart"/>
      <w:r w:rsidR="00650FD8">
        <w:rPr>
          <w:sz w:val="28"/>
          <w:szCs w:val="28"/>
        </w:rPr>
        <w:t>.»;</w:t>
      </w:r>
      <w:proofErr w:type="gramEnd"/>
    </w:p>
    <w:p w:rsidR="00650FD8" w:rsidRDefault="00650FD8" w:rsidP="006C5A28">
      <w:pPr>
        <w:ind w:left="142" w:firstLine="567"/>
        <w:jc w:val="both"/>
        <w:rPr>
          <w:sz w:val="28"/>
          <w:szCs w:val="28"/>
        </w:rPr>
      </w:pPr>
    </w:p>
    <w:p w:rsidR="00650FD8" w:rsidRDefault="00650FD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2.10.7.  пункта 2.10.  исключить.</w:t>
      </w:r>
    </w:p>
    <w:p w:rsidR="00650FD8" w:rsidRDefault="00650FD8" w:rsidP="006C5A28">
      <w:pPr>
        <w:ind w:left="142" w:firstLine="567"/>
        <w:jc w:val="both"/>
        <w:rPr>
          <w:sz w:val="28"/>
          <w:szCs w:val="28"/>
        </w:rPr>
      </w:pPr>
    </w:p>
    <w:p w:rsidR="00650FD8" w:rsidRDefault="00650FD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 2.22.1.  пункта  2.22.  изложить  в  следующей  редакции:</w:t>
      </w:r>
    </w:p>
    <w:p w:rsidR="00855EAA" w:rsidRDefault="00855EAA" w:rsidP="006C5A28">
      <w:pPr>
        <w:ind w:left="142" w:firstLine="567"/>
        <w:jc w:val="both"/>
        <w:rPr>
          <w:sz w:val="28"/>
          <w:szCs w:val="28"/>
        </w:rPr>
      </w:pPr>
    </w:p>
    <w:p w:rsidR="00855EAA" w:rsidRDefault="00855EAA" w:rsidP="00855EAA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55EAA" w:rsidRDefault="00855EAA" w:rsidP="006C5A28">
      <w:pPr>
        <w:ind w:left="142" w:firstLine="567"/>
        <w:jc w:val="both"/>
        <w:rPr>
          <w:sz w:val="28"/>
          <w:szCs w:val="28"/>
        </w:rPr>
      </w:pPr>
    </w:p>
    <w:p w:rsidR="00931F08" w:rsidRDefault="00650FD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«2.22.1. Виды  информационных  конструкций  для  размещения наружной  информации  на  территории  городского  поселения  Тутаев, места, отведенные  для  этих  целей,  требования  к  указанным  информационным  конструкциям, их  размещению  и  содержанию,  а  также</w:t>
      </w:r>
    </w:p>
    <w:p w:rsidR="00650FD8" w:rsidRDefault="00650FD8" w:rsidP="00931F0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порядок  согласования  информационных  конструкций и  порядок  демонтажа  информационных  конструкций,  размещенных  с  нарушением  установленных  требований,  утверждаются  постановление</w:t>
      </w:r>
      <w:r w:rsidR="00731033">
        <w:rPr>
          <w:sz w:val="28"/>
          <w:szCs w:val="28"/>
        </w:rPr>
        <w:t>м</w:t>
      </w:r>
      <w:r>
        <w:rPr>
          <w:sz w:val="28"/>
          <w:szCs w:val="28"/>
        </w:rPr>
        <w:t xml:space="preserve">  Администрации  Тутаевского  муниципального 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650FD8" w:rsidRDefault="00650FD8" w:rsidP="006C5A28">
      <w:pPr>
        <w:ind w:left="142" w:firstLine="567"/>
        <w:jc w:val="both"/>
        <w:rPr>
          <w:sz w:val="28"/>
          <w:szCs w:val="28"/>
        </w:rPr>
      </w:pPr>
    </w:p>
    <w:p w:rsidR="00390B47" w:rsidRDefault="00650FD8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238AC">
        <w:rPr>
          <w:sz w:val="28"/>
          <w:szCs w:val="28"/>
        </w:rPr>
        <w:t xml:space="preserve"> </w:t>
      </w:r>
      <w:r w:rsidR="00390B47">
        <w:rPr>
          <w:sz w:val="28"/>
          <w:szCs w:val="28"/>
        </w:rPr>
        <w:t>подпункт 2.22.2  пункта  2.22.  изложить  в  следующей  редакции:</w:t>
      </w:r>
    </w:p>
    <w:p w:rsidR="00390B47" w:rsidRDefault="00390B47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«2.22.2.Рекламные  конструкции устанавливаются  и  эксплуатируются   на  территории  городского  поселения  Тутаев  в  соответствии  с  федеральным  и  региональным  законодательством, регулирующем  отношения  в  сфере  наружной рекламы.</w:t>
      </w:r>
    </w:p>
    <w:p w:rsidR="00685C2F" w:rsidRDefault="00F12F63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 рекламной  конструкции  обязан  содержать  ее  в  чистоте</w:t>
      </w:r>
      <w:r w:rsidR="005B7335">
        <w:rPr>
          <w:sz w:val="28"/>
          <w:szCs w:val="28"/>
        </w:rPr>
        <w:t>, технически  исправном  состоянии, элементы  конструкции  окрашивать  по  мере  возникновения  дефектов  лакокрасочного  покрытия,  но  не  реже  одного  раза  в  год.</w:t>
      </w:r>
      <w:r w:rsidR="00390B47">
        <w:rPr>
          <w:sz w:val="28"/>
          <w:szCs w:val="28"/>
        </w:rPr>
        <w:t xml:space="preserve"> </w:t>
      </w:r>
      <w:r w:rsidR="00685C2F">
        <w:rPr>
          <w:sz w:val="28"/>
          <w:szCs w:val="28"/>
        </w:rPr>
        <w:t>Ремонт  рекламных  конструкций, в  том  числе  элементов  освещения, производится  в  течение  3  дней  со  дня  выявления  неисправностей</w:t>
      </w:r>
      <w:proofErr w:type="gramStart"/>
      <w:r w:rsidR="00685C2F">
        <w:rPr>
          <w:sz w:val="28"/>
          <w:szCs w:val="28"/>
        </w:rPr>
        <w:t>.»;</w:t>
      </w:r>
      <w:proofErr w:type="gramEnd"/>
    </w:p>
    <w:p w:rsidR="00685C2F" w:rsidRDefault="00685C2F" w:rsidP="006C5A28">
      <w:pPr>
        <w:ind w:left="142" w:firstLine="567"/>
        <w:jc w:val="both"/>
        <w:rPr>
          <w:sz w:val="28"/>
          <w:szCs w:val="28"/>
        </w:rPr>
      </w:pPr>
    </w:p>
    <w:p w:rsidR="00685C2F" w:rsidRDefault="00685C2F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2.22.3. пункта 2.22.  изложить  в  следующей  редакции:</w:t>
      </w:r>
    </w:p>
    <w:p w:rsidR="00616D1F" w:rsidRDefault="00685C2F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6D1F">
        <w:rPr>
          <w:sz w:val="28"/>
          <w:szCs w:val="28"/>
        </w:rPr>
        <w:t>Информационные  конструкции, размещенные  с  нарушением  требований,  установленных  подпунктом  2.22.1.  пункта 2.22.  настоящих  Правил,  подлежат  демонтажу</w:t>
      </w:r>
      <w:proofErr w:type="gramStart"/>
      <w:r w:rsidR="00616D1F">
        <w:rPr>
          <w:sz w:val="28"/>
          <w:szCs w:val="28"/>
        </w:rPr>
        <w:t>.»;</w:t>
      </w:r>
      <w:proofErr w:type="gramEnd"/>
    </w:p>
    <w:p w:rsidR="00616D1F" w:rsidRDefault="00616D1F" w:rsidP="006C5A28">
      <w:pPr>
        <w:ind w:left="142" w:firstLine="567"/>
        <w:jc w:val="both"/>
        <w:rPr>
          <w:sz w:val="28"/>
          <w:szCs w:val="28"/>
        </w:rPr>
      </w:pPr>
    </w:p>
    <w:p w:rsidR="00F4356E" w:rsidRDefault="00616D1F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238AC">
        <w:rPr>
          <w:sz w:val="28"/>
          <w:szCs w:val="28"/>
        </w:rPr>
        <w:t xml:space="preserve"> </w:t>
      </w:r>
      <w:r w:rsidR="00F4356E">
        <w:rPr>
          <w:sz w:val="28"/>
          <w:szCs w:val="28"/>
        </w:rPr>
        <w:t>подпункты  2.22.4. -  2.22.15. пункта  2.22.  исключить.</w:t>
      </w:r>
    </w:p>
    <w:p w:rsidR="00F4356E" w:rsidRDefault="00F4356E" w:rsidP="006C5A28">
      <w:pPr>
        <w:ind w:left="142" w:firstLine="567"/>
        <w:jc w:val="both"/>
        <w:rPr>
          <w:sz w:val="28"/>
          <w:szCs w:val="28"/>
        </w:rPr>
      </w:pPr>
    </w:p>
    <w:p w:rsidR="00F4356E" w:rsidRDefault="00F4356E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38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 Муниципального  Совета  городского  поселения  Тутаев  по  экономической  политике  и  предпринимательству  (Анисимова  Т.П.).</w:t>
      </w:r>
    </w:p>
    <w:p w:rsidR="00F4356E" w:rsidRDefault="00F4356E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38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вступает  в  силу  после  его  официального  опубликования.</w:t>
      </w:r>
    </w:p>
    <w:p w:rsidR="00F4356E" w:rsidRDefault="00F4356E" w:rsidP="006C5A28">
      <w:pPr>
        <w:ind w:left="142" w:firstLine="567"/>
        <w:jc w:val="both"/>
        <w:rPr>
          <w:sz w:val="28"/>
          <w:szCs w:val="28"/>
        </w:rPr>
      </w:pPr>
    </w:p>
    <w:p w:rsidR="00F4356E" w:rsidRDefault="00F4356E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5C6F25" w:rsidRDefault="00F4356E" w:rsidP="006C5A2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Тутаев                                               С.Ю. Ершов</w:t>
      </w:r>
      <w:r w:rsidR="00390B47">
        <w:rPr>
          <w:sz w:val="28"/>
          <w:szCs w:val="28"/>
        </w:rPr>
        <w:t xml:space="preserve"> </w:t>
      </w:r>
      <w:r w:rsidR="00650FD8">
        <w:rPr>
          <w:sz w:val="28"/>
          <w:szCs w:val="28"/>
        </w:rPr>
        <w:t xml:space="preserve">  </w:t>
      </w:r>
      <w:r w:rsidR="00D67DDD">
        <w:rPr>
          <w:sz w:val="28"/>
          <w:szCs w:val="28"/>
        </w:rPr>
        <w:t xml:space="preserve">  </w:t>
      </w:r>
    </w:p>
    <w:p w:rsidR="000A49CF" w:rsidRPr="00582FA2" w:rsidRDefault="000A49CF">
      <w:pPr>
        <w:rPr>
          <w:sz w:val="28"/>
          <w:szCs w:val="28"/>
        </w:rPr>
      </w:pPr>
    </w:p>
    <w:sectPr w:rsidR="000A49CF" w:rsidRPr="0058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0"/>
    <w:rsid w:val="000A49CF"/>
    <w:rsid w:val="00207C08"/>
    <w:rsid w:val="0021785A"/>
    <w:rsid w:val="00265C22"/>
    <w:rsid w:val="002F6FE4"/>
    <w:rsid w:val="00362B7B"/>
    <w:rsid w:val="00390B47"/>
    <w:rsid w:val="005407BF"/>
    <w:rsid w:val="00582FA2"/>
    <w:rsid w:val="005B7335"/>
    <w:rsid w:val="005C6F25"/>
    <w:rsid w:val="00616D1F"/>
    <w:rsid w:val="00650FD8"/>
    <w:rsid w:val="00685C2F"/>
    <w:rsid w:val="006C5A28"/>
    <w:rsid w:val="00731033"/>
    <w:rsid w:val="00855EAA"/>
    <w:rsid w:val="008D4859"/>
    <w:rsid w:val="008F3899"/>
    <w:rsid w:val="00931F08"/>
    <w:rsid w:val="009D1286"/>
    <w:rsid w:val="00B11E49"/>
    <w:rsid w:val="00B16E00"/>
    <w:rsid w:val="00B42281"/>
    <w:rsid w:val="00B63694"/>
    <w:rsid w:val="00BE2FE0"/>
    <w:rsid w:val="00BF2828"/>
    <w:rsid w:val="00C62648"/>
    <w:rsid w:val="00CA4E07"/>
    <w:rsid w:val="00CB7EA8"/>
    <w:rsid w:val="00D238AC"/>
    <w:rsid w:val="00D67DDD"/>
    <w:rsid w:val="00D84DA4"/>
    <w:rsid w:val="00DD35AD"/>
    <w:rsid w:val="00E762E3"/>
    <w:rsid w:val="00E82D5F"/>
    <w:rsid w:val="00EB3D55"/>
    <w:rsid w:val="00EF2EA9"/>
    <w:rsid w:val="00F12F63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A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5A2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C5A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A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5A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C5A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5A2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5A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C5A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5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5A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5A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5A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C5A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C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C5A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C5A2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5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C5A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C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A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5A2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C5A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A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5A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C5A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5A2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5A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C5A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5A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5A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5A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5A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C5A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C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C5A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C5A2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5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C5A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C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ivanova</cp:lastModifiedBy>
  <cp:revision>4</cp:revision>
  <cp:lastPrinted>2019-02-27T06:58:00Z</cp:lastPrinted>
  <dcterms:created xsi:type="dcterms:W3CDTF">2019-02-22T09:54:00Z</dcterms:created>
  <dcterms:modified xsi:type="dcterms:W3CDTF">2019-02-27T07:34:00Z</dcterms:modified>
</cp:coreProperties>
</file>